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D1D2D" w14:textId="77777777" w:rsidR="007167BE" w:rsidRDefault="007167BE" w:rsidP="007167BE">
      <w:pPr>
        <w:spacing w:line="240" w:lineRule="auto"/>
        <w:jc w:val="center"/>
        <w:rPr>
          <w:lang w:val="es-ES"/>
        </w:rPr>
      </w:pPr>
    </w:p>
    <w:p w14:paraId="76F8B58F" w14:textId="77777777" w:rsidR="007167BE" w:rsidRDefault="007167BE" w:rsidP="007167BE">
      <w:pPr>
        <w:spacing w:line="240" w:lineRule="auto"/>
        <w:jc w:val="center"/>
        <w:rPr>
          <w:lang w:val="es-ES"/>
        </w:rPr>
      </w:pPr>
    </w:p>
    <w:p w14:paraId="22C77466" w14:textId="77777777" w:rsidR="007167BE" w:rsidRDefault="007167BE" w:rsidP="007167BE">
      <w:pPr>
        <w:spacing w:line="240" w:lineRule="auto"/>
        <w:jc w:val="center"/>
        <w:rPr>
          <w:lang w:val="es-ES"/>
        </w:rPr>
      </w:pPr>
    </w:p>
    <w:p w14:paraId="3B83BE71" w14:textId="77777777" w:rsidR="007167BE" w:rsidRDefault="007167BE" w:rsidP="007167BE">
      <w:pPr>
        <w:spacing w:line="240" w:lineRule="auto"/>
        <w:jc w:val="center"/>
        <w:rPr>
          <w:lang w:val="es-ES"/>
        </w:rPr>
      </w:pPr>
    </w:p>
    <w:p w14:paraId="21F0A0C9" w14:textId="77777777" w:rsidR="007167BE" w:rsidRDefault="007167BE" w:rsidP="007167BE">
      <w:pPr>
        <w:spacing w:line="240" w:lineRule="auto"/>
        <w:jc w:val="center"/>
        <w:rPr>
          <w:lang w:val="es-ES"/>
        </w:rPr>
      </w:pPr>
    </w:p>
    <w:p w14:paraId="027751D6" w14:textId="77777777" w:rsidR="007167BE" w:rsidRDefault="007167BE" w:rsidP="007167BE">
      <w:pPr>
        <w:spacing w:line="240" w:lineRule="auto"/>
        <w:jc w:val="center"/>
        <w:rPr>
          <w:lang w:val="es-ES"/>
        </w:rPr>
      </w:pPr>
    </w:p>
    <w:p w14:paraId="1565BC45" w14:textId="77777777" w:rsidR="007167BE" w:rsidRDefault="007167BE" w:rsidP="007167BE">
      <w:pPr>
        <w:spacing w:line="240" w:lineRule="auto"/>
        <w:jc w:val="center"/>
        <w:rPr>
          <w:lang w:val="es-ES"/>
        </w:rPr>
      </w:pPr>
    </w:p>
    <w:p w14:paraId="0D6084E0" w14:textId="77777777" w:rsidR="007167BE" w:rsidRDefault="007167BE" w:rsidP="007167BE">
      <w:pPr>
        <w:spacing w:line="240" w:lineRule="auto"/>
        <w:jc w:val="center"/>
        <w:rPr>
          <w:lang w:val="es-ES"/>
        </w:rPr>
      </w:pPr>
    </w:p>
    <w:p w14:paraId="17445563" w14:textId="77777777" w:rsidR="007167BE" w:rsidRDefault="007167BE" w:rsidP="007167BE">
      <w:pPr>
        <w:spacing w:line="240" w:lineRule="auto"/>
        <w:jc w:val="center"/>
        <w:rPr>
          <w:lang w:val="es-ES"/>
        </w:rPr>
      </w:pPr>
    </w:p>
    <w:p w14:paraId="2F43670C" w14:textId="77777777" w:rsidR="007167BE" w:rsidRDefault="007167BE" w:rsidP="007167BE">
      <w:pPr>
        <w:spacing w:line="240" w:lineRule="auto"/>
        <w:jc w:val="center"/>
        <w:rPr>
          <w:lang w:val="es-ES"/>
        </w:rPr>
      </w:pPr>
    </w:p>
    <w:p w14:paraId="5401A333" w14:textId="77777777" w:rsidR="007167BE" w:rsidRDefault="007167BE" w:rsidP="007167BE">
      <w:pPr>
        <w:spacing w:line="240" w:lineRule="auto"/>
        <w:jc w:val="center"/>
        <w:rPr>
          <w:lang w:val="es-ES"/>
        </w:rPr>
      </w:pPr>
    </w:p>
    <w:p w14:paraId="6EEBC045" w14:textId="77777777" w:rsidR="007167BE" w:rsidRDefault="007167BE" w:rsidP="008454EA">
      <w:pPr>
        <w:rPr>
          <w:lang w:val="es-ES"/>
        </w:rPr>
      </w:pPr>
    </w:p>
    <w:p w14:paraId="0A0A7C31" w14:textId="77777777" w:rsidR="007167BE" w:rsidRDefault="007167BE" w:rsidP="008454EA">
      <w:pPr>
        <w:jc w:val="center"/>
        <w:rPr>
          <w:lang w:val="es-ES"/>
        </w:rPr>
      </w:pPr>
    </w:p>
    <w:p w14:paraId="194F46F4" w14:textId="6F1ED050" w:rsidR="007167BE" w:rsidRDefault="0021158C" w:rsidP="008454EA">
      <w:pPr>
        <w:jc w:val="center"/>
      </w:pPr>
      <w:r>
        <w:t>Asserting Control Over [A]Historical Consciousness</w:t>
      </w:r>
      <w:r w:rsidR="007167BE">
        <w:t>:</w:t>
      </w:r>
    </w:p>
    <w:p w14:paraId="356937F9" w14:textId="04D4B258" w:rsidR="005F1726" w:rsidRDefault="0021158C" w:rsidP="008454EA">
      <w:pPr>
        <w:jc w:val="center"/>
      </w:pPr>
      <w:r>
        <w:t>How the Settler State Perpetuates Indigenous Homelessness</w:t>
      </w:r>
    </w:p>
    <w:p w14:paraId="7B0CE47C" w14:textId="61D31CFF" w:rsidR="007167BE" w:rsidRDefault="007167BE" w:rsidP="007167BE">
      <w:pPr>
        <w:spacing w:line="240" w:lineRule="auto"/>
        <w:jc w:val="center"/>
      </w:pPr>
    </w:p>
    <w:p w14:paraId="7B0C54AD" w14:textId="23195C39" w:rsidR="007167BE" w:rsidRDefault="007167BE" w:rsidP="007167BE">
      <w:pPr>
        <w:spacing w:line="240" w:lineRule="auto"/>
        <w:jc w:val="center"/>
      </w:pPr>
    </w:p>
    <w:p w14:paraId="1EF3B56D" w14:textId="0683CB5A" w:rsidR="007167BE" w:rsidRDefault="007167BE" w:rsidP="007167BE">
      <w:pPr>
        <w:spacing w:line="240" w:lineRule="auto"/>
        <w:jc w:val="center"/>
      </w:pPr>
    </w:p>
    <w:p w14:paraId="091CEA61" w14:textId="355844EF" w:rsidR="007167BE" w:rsidRDefault="007167BE" w:rsidP="007167BE">
      <w:pPr>
        <w:spacing w:line="240" w:lineRule="auto"/>
        <w:jc w:val="center"/>
      </w:pPr>
    </w:p>
    <w:p w14:paraId="1659596C" w14:textId="7CC83A7B" w:rsidR="007167BE" w:rsidRDefault="007167BE" w:rsidP="007167BE">
      <w:pPr>
        <w:spacing w:line="240" w:lineRule="auto"/>
        <w:jc w:val="center"/>
      </w:pPr>
    </w:p>
    <w:p w14:paraId="28786E01" w14:textId="2F20F6CE" w:rsidR="007167BE" w:rsidRDefault="007167BE" w:rsidP="007167BE">
      <w:pPr>
        <w:spacing w:line="240" w:lineRule="auto"/>
        <w:jc w:val="center"/>
      </w:pPr>
    </w:p>
    <w:p w14:paraId="1EA8F988" w14:textId="53798ED4" w:rsidR="007167BE" w:rsidRDefault="007167BE" w:rsidP="007167BE">
      <w:pPr>
        <w:spacing w:line="240" w:lineRule="auto"/>
        <w:jc w:val="center"/>
      </w:pPr>
    </w:p>
    <w:p w14:paraId="79692C3C" w14:textId="52D2F61A" w:rsidR="007167BE" w:rsidRDefault="007167BE" w:rsidP="007167BE">
      <w:pPr>
        <w:spacing w:line="240" w:lineRule="auto"/>
        <w:jc w:val="center"/>
      </w:pPr>
    </w:p>
    <w:p w14:paraId="02382A7A" w14:textId="3FC2346E" w:rsidR="007167BE" w:rsidRDefault="007167BE" w:rsidP="007167BE">
      <w:pPr>
        <w:spacing w:line="240" w:lineRule="auto"/>
        <w:jc w:val="center"/>
      </w:pPr>
    </w:p>
    <w:p w14:paraId="18623CF4" w14:textId="0BC910B8" w:rsidR="007167BE" w:rsidRDefault="007167BE" w:rsidP="007167BE">
      <w:pPr>
        <w:spacing w:line="240" w:lineRule="auto"/>
        <w:jc w:val="center"/>
      </w:pPr>
    </w:p>
    <w:p w14:paraId="3B931F89" w14:textId="162DA98F" w:rsidR="007167BE" w:rsidRDefault="007167BE" w:rsidP="007167BE">
      <w:pPr>
        <w:spacing w:line="240" w:lineRule="auto"/>
        <w:jc w:val="center"/>
      </w:pPr>
    </w:p>
    <w:p w14:paraId="70CE7DCE" w14:textId="3CBD4424" w:rsidR="007167BE" w:rsidRDefault="007167BE" w:rsidP="007167BE">
      <w:pPr>
        <w:spacing w:line="240" w:lineRule="auto"/>
        <w:jc w:val="center"/>
      </w:pPr>
    </w:p>
    <w:p w14:paraId="43EC001B" w14:textId="4FCCDC48" w:rsidR="007167BE" w:rsidRDefault="007167BE" w:rsidP="007167BE">
      <w:pPr>
        <w:spacing w:line="240" w:lineRule="auto"/>
        <w:jc w:val="center"/>
      </w:pPr>
    </w:p>
    <w:p w14:paraId="012B9325" w14:textId="7FB8B5E0" w:rsidR="007167BE" w:rsidRDefault="007167BE" w:rsidP="007167BE">
      <w:pPr>
        <w:spacing w:line="240" w:lineRule="auto"/>
        <w:jc w:val="center"/>
      </w:pPr>
    </w:p>
    <w:p w14:paraId="6C263E7F" w14:textId="123877B7" w:rsidR="007167BE" w:rsidRDefault="007167BE" w:rsidP="007167BE">
      <w:pPr>
        <w:spacing w:line="240" w:lineRule="auto"/>
        <w:jc w:val="center"/>
      </w:pPr>
    </w:p>
    <w:p w14:paraId="1B555869" w14:textId="653BF76C" w:rsidR="007167BE" w:rsidRDefault="007167BE" w:rsidP="007167BE">
      <w:pPr>
        <w:spacing w:line="240" w:lineRule="auto"/>
        <w:jc w:val="center"/>
      </w:pPr>
    </w:p>
    <w:p w14:paraId="6876C762" w14:textId="77777777" w:rsidR="007167BE" w:rsidRDefault="007167BE" w:rsidP="008454EA">
      <w:pPr>
        <w:spacing w:line="240" w:lineRule="auto"/>
      </w:pPr>
    </w:p>
    <w:p w14:paraId="5070C7F4" w14:textId="11B3C37F" w:rsidR="007167BE" w:rsidRDefault="007167BE" w:rsidP="007167BE">
      <w:pPr>
        <w:spacing w:line="240" w:lineRule="auto"/>
        <w:jc w:val="center"/>
      </w:pPr>
    </w:p>
    <w:p w14:paraId="385F892C" w14:textId="441E3301" w:rsidR="007167BE" w:rsidRDefault="007167BE" w:rsidP="007167BE">
      <w:pPr>
        <w:spacing w:line="240" w:lineRule="auto"/>
        <w:jc w:val="center"/>
      </w:pPr>
    </w:p>
    <w:p w14:paraId="3BB2ACED" w14:textId="77777777" w:rsidR="007167BE" w:rsidRDefault="007167BE" w:rsidP="00AA6A9F">
      <w:pPr>
        <w:spacing w:line="240" w:lineRule="auto"/>
        <w:sectPr w:rsidR="007167BE">
          <w:pgSz w:w="12240" w:h="15840"/>
          <w:pgMar w:top="1417" w:right="1701" w:bottom="1417" w:left="1701" w:header="708" w:footer="708" w:gutter="0"/>
          <w:cols w:space="708"/>
          <w:docGrid w:linePitch="360"/>
        </w:sectPr>
      </w:pPr>
    </w:p>
    <w:p w14:paraId="41AE0FC2" w14:textId="5FF39FD5" w:rsidR="00142EE6" w:rsidRDefault="00142EE6" w:rsidP="002A3E06">
      <w:pPr>
        <w:tabs>
          <w:tab w:val="left" w:pos="3008"/>
        </w:tabs>
      </w:pPr>
      <w:r>
        <w:lastRenderedPageBreak/>
        <w:t>Abstract</w:t>
      </w:r>
      <w:r w:rsidR="002A3E06">
        <w:t>:</w:t>
      </w:r>
    </w:p>
    <w:p w14:paraId="2F09F4EE" w14:textId="0C25DECB" w:rsidR="00142EE6" w:rsidRDefault="002A3E06" w:rsidP="002A3E06">
      <w:pPr>
        <w:tabs>
          <w:tab w:val="left" w:pos="3008"/>
        </w:tabs>
        <w:ind w:firstLine="737"/>
      </w:pPr>
      <w:r>
        <w:t>The following historiographical analysis briefly outlines the legacy of</w:t>
      </w:r>
      <w:r w:rsidR="00142EE6">
        <w:t xml:space="preserve"> Indigenous encampments on the Aboriginal Burial Ground in Rossdale Flats</w:t>
      </w:r>
      <w:r>
        <w:t xml:space="preserve"> in what is colonially known as Edmonton, A</w:t>
      </w:r>
      <w:r w:rsidR="00C27BF8">
        <w:t>lberta</w:t>
      </w:r>
      <w:r>
        <w:t>. Specifically, the</w:t>
      </w:r>
      <w:r w:rsidR="00386EFE">
        <w:t xml:space="preserve"> following</w:t>
      </w:r>
      <w:r>
        <w:t xml:space="preserve"> analysis document</w:t>
      </w:r>
      <w:r w:rsidR="00386EFE">
        <w:t>s</w:t>
      </w:r>
      <w:r>
        <w:t xml:space="preserve"> the </w:t>
      </w:r>
      <w:r w:rsidR="00142EE6">
        <w:t xml:space="preserve">grassroots activism of prayer camp pekiwewin </w:t>
      </w:r>
      <w:r>
        <w:t xml:space="preserve">in the final months of 2020. </w:t>
      </w:r>
      <w:r w:rsidR="00142EE6">
        <w:t>Beginning with a brief overview of the encampment</w:t>
      </w:r>
      <w:r>
        <w:t xml:space="preserve"> site</w:t>
      </w:r>
      <w:r w:rsidR="00142EE6">
        <w:t>, th</w:t>
      </w:r>
      <w:r w:rsidR="003F1E04">
        <w:t>is</w:t>
      </w:r>
      <w:r w:rsidR="00142EE6">
        <w:t xml:space="preserve"> research analysis </w:t>
      </w:r>
      <w:r>
        <w:t>critiques</w:t>
      </w:r>
      <w:r w:rsidR="00142EE6">
        <w:t xml:space="preserve"> the ongoing colonialism </w:t>
      </w:r>
      <w:r>
        <w:t>in</w:t>
      </w:r>
      <w:r w:rsidR="00142EE6">
        <w:t xml:space="preserve"> urban settler </w:t>
      </w:r>
      <w:r>
        <w:t xml:space="preserve">cities </w:t>
      </w:r>
      <w:r w:rsidR="002E1FD0">
        <w:t xml:space="preserve">which </w:t>
      </w:r>
      <w:r>
        <w:t>regulate</w:t>
      </w:r>
      <w:r w:rsidR="002E1FD0">
        <w:t>s</w:t>
      </w:r>
      <w:r w:rsidR="00142EE6">
        <w:t xml:space="preserve"> </w:t>
      </w:r>
      <w:r>
        <w:t xml:space="preserve">how peoples can </w:t>
      </w:r>
      <w:r w:rsidR="003F1E04">
        <w:t>operate</w:t>
      </w:r>
      <w:r>
        <w:t xml:space="preserve"> in relation </w:t>
      </w:r>
      <w:r w:rsidR="00C27BF8">
        <w:t>to</w:t>
      </w:r>
      <w:r>
        <w:t xml:space="preserve"> the land.</w:t>
      </w:r>
      <w:r w:rsidR="00142EE6">
        <w:t xml:space="preserve"> The methodologies </w:t>
      </w:r>
      <w:r w:rsidR="00F50A91">
        <w:t>of the state explored</w:t>
      </w:r>
      <w:r w:rsidR="00142EE6">
        <w:t xml:space="preserve"> herein pertain to the </w:t>
      </w:r>
      <w:r w:rsidR="00F50A91">
        <w:t>function</w:t>
      </w:r>
      <w:r w:rsidR="00142EE6">
        <w:t xml:space="preserve"> of public history, ongoing settler colonial oppression, and the criminalization of homelessness as fac</w:t>
      </w:r>
      <w:r>
        <w:t xml:space="preserve">tors </w:t>
      </w:r>
      <w:r w:rsidR="00142EE6">
        <w:t xml:space="preserve">that </w:t>
      </w:r>
      <w:r>
        <w:t>reproduce inequalities</w:t>
      </w:r>
      <w:r w:rsidR="00142EE6">
        <w:t xml:space="preserve">. </w:t>
      </w:r>
    </w:p>
    <w:p w14:paraId="59903A6C" w14:textId="0D1E257E" w:rsidR="002A3E06" w:rsidRDefault="002A3E06" w:rsidP="002A3E06">
      <w:pPr>
        <w:tabs>
          <w:tab w:val="left" w:pos="3008"/>
        </w:tabs>
      </w:pPr>
    </w:p>
    <w:p w14:paraId="58911310" w14:textId="717DBF3C" w:rsidR="002A3E06" w:rsidRDefault="002A3E06" w:rsidP="002A3E06">
      <w:pPr>
        <w:tabs>
          <w:tab w:val="left" w:pos="3008"/>
        </w:tabs>
      </w:pPr>
      <w:r>
        <w:t xml:space="preserve">Keywords: settler colonial, public history, </w:t>
      </w:r>
      <w:r w:rsidR="0038621E">
        <w:t xml:space="preserve">homelessness, Indigenous Peoples, </w:t>
      </w:r>
      <w:r w:rsidR="00683B28">
        <w:t>urban cities</w:t>
      </w:r>
    </w:p>
    <w:p w14:paraId="18F2BD10" w14:textId="4D9F4C0F" w:rsidR="00142EE6" w:rsidRPr="00142EE6" w:rsidRDefault="00142EE6" w:rsidP="00142EE6">
      <w:pPr>
        <w:tabs>
          <w:tab w:val="left" w:pos="3008"/>
        </w:tabs>
        <w:sectPr w:rsidR="00142EE6" w:rsidRPr="00142EE6" w:rsidSect="007167BE">
          <w:headerReference w:type="default" r:id="rId7"/>
          <w:pgSz w:w="12240" w:h="15840"/>
          <w:pgMar w:top="1417" w:right="1701" w:bottom="1417" w:left="1701" w:header="708" w:footer="708" w:gutter="0"/>
          <w:pgNumType w:start="1"/>
          <w:cols w:space="708"/>
          <w:docGrid w:linePitch="360"/>
        </w:sectPr>
      </w:pPr>
      <w:r>
        <w:tab/>
      </w:r>
    </w:p>
    <w:p w14:paraId="43F66829" w14:textId="03313F68" w:rsidR="00BE0D43" w:rsidRDefault="0021158C" w:rsidP="00AA6A9F">
      <w:pPr>
        <w:tabs>
          <w:tab w:val="left" w:pos="3653"/>
        </w:tabs>
        <w:ind w:firstLine="737"/>
      </w:pPr>
      <w:r>
        <w:lastRenderedPageBreak/>
        <w:t>Friday the 24</w:t>
      </w:r>
      <w:r w:rsidRPr="0021158C">
        <w:rPr>
          <w:vertAlign w:val="superscript"/>
        </w:rPr>
        <w:t>th</w:t>
      </w:r>
      <w:r>
        <w:t xml:space="preserve"> of </w:t>
      </w:r>
      <w:r w:rsidR="00EC3411">
        <w:t>July</w:t>
      </w:r>
      <w:r>
        <w:t xml:space="preserve"> 2020</w:t>
      </w:r>
      <w:r w:rsidR="00BE0D43">
        <w:t xml:space="preserve"> marked the first of what would be approximately one-hundred and ten days of community-based activism </w:t>
      </w:r>
      <w:r w:rsidR="00EC3411">
        <w:t>led by “Indigenous 2 Spirit women and femme folks working in solidarity with Black, LGBTQ2S and settler allies” to “welcome…the house-less community in [what is now known as] Edmonton” to “an anti-police violence, emergency relief and prayer camp with a harm reduction approach.”</w:t>
      </w:r>
      <w:r w:rsidR="00EC3411">
        <w:rPr>
          <w:rStyle w:val="Refdenotaalpie"/>
        </w:rPr>
        <w:footnoteReference w:id="1"/>
      </w:r>
      <w:r w:rsidR="005D0B3B">
        <w:t xml:space="preserve"> </w:t>
      </w:r>
      <w:r w:rsidR="00EC3411">
        <w:t>The prayer c</w:t>
      </w:r>
      <w:r w:rsidR="00BE0D43">
        <w:t xml:space="preserve">amp pekiwewin existed on </w:t>
      </w:r>
      <w:r w:rsidR="00EC3411">
        <w:t>a small parcel of</w:t>
      </w:r>
      <w:r w:rsidR="00BE0D43">
        <w:t xml:space="preserve"> parkland situated alongside Rossdale Road N</w:t>
      </w:r>
      <w:r w:rsidR="00EC3411">
        <w:t>W</w:t>
      </w:r>
      <w:r w:rsidR="00BE0D43">
        <w:t xml:space="preserve"> and 96</w:t>
      </w:r>
      <w:r w:rsidR="00BE0D43" w:rsidRPr="00BE0D43">
        <w:rPr>
          <w:vertAlign w:val="superscript"/>
        </w:rPr>
        <w:t>th</w:t>
      </w:r>
      <w:r w:rsidR="00BE0D43">
        <w:t xml:space="preserve"> Avenue N</w:t>
      </w:r>
      <w:r w:rsidR="00EC3411">
        <w:t>W</w:t>
      </w:r>
      <w:r w:rsidR="00BE0D43">
        <w:t xml:space="preserve">, </w:t>
      </w:r>
      <w:r w:rsidR="00EC3411">
        <w:t xml:space="preserve">a space that is </w:t>
      </w:r>
      <w:r w:rsidR="00BE0D43">
        <w:t>otherwise recognized as one portion of the larger Fort Edmonton Cemetery/Aboriginal Burial Grounds</w:t>
      </w:r>
      <w:r w:rsidR="00EC3411">
        <w:t>.</w:t>
      </w:r>
      <w:r w:rsidR="005D0B3B">
        <w:rPr>
          <w:rStyle w:val="Refdenotaalpie"/>
        </w:rPr>
        <w:footnoteReference w:id="2"/>
      </w:r>
      <w:r w:rsidR="00EC3411">
        <w:t xml:space="preserve"> Instead of</w:t>
      </w:r>
      <w:r w:rsidR="00A80A49">
        <w:t xml:space="preserve"> th</w:t>
      </w:r>
      <w:r w:rsidR="002E1FD0">
        <w:t>e</w:t>
      </w:r>
      <w:r w:rsidR="00EC3411">
        <w:t xml:space="preserve"> space</w:t>
      </w:r>
      <w:r w:rsidR="00A80A49">
        <w:t xml:space="preserve"> </w:t>
      </w:r>
      <w:r w:rsidR="00EC3411">
        <w:t>serving an ongoing commemorative function,</w:t>
      </w:r>
      <w:r w:rsidR="00BE0D43">
        <w:t xml:space="preserve"> </w:t>
      </w:r>
      <w:r w:rsidR="00EC3411">
        <w:t>it is</w:t>
      </w:r>
      <w:r w:rsidR="00BE0D43">
        <w:t xml:space="preserve"> </w:t>
      </w:r>
      <w:r w:rsidR="00C27BF8">
        <w:t>only used</w:t>
      </w:r>
      <w:r w:rsidR="00EC3411">
        <w:t xml:space="preserve"> occasionally</w:t>
      </w:r>
      <w:r w:rsidR="003B6D9A">
        <w:t xml:space="preserve"> by the settler majority population</w:t>
      </w:r>
      <w:r w:rsidR="00BE0D43">
        <w:t xml:space="preserve"> as an overflow parking lot </w:t>
      </w:r>
      <w:r w:rsidR="00EC3411">
        <w:t>for</w:t>
      </w:r>
      <w:r w:rsidR="00BE0D43">
        <w:t xml:space="preserve"> the baseball field</w:t>
      </w:r>
      <w:r w:rsidR="00EC3411">
        <w:t xml:space="preserve"> across Rossdale Road NW, </w:t>
      </w:r>
      <w:r w:rsidR="00A80A49">
        <w:t>which was</w:t>
      </w:r>
      <w:r w:rsidR="00EC3411">
        <w:t xml:space="preserve"> </w:t>
      </w:r>
      <w:r w:rsidR="002A3E06">
        <w:t>deliberately</w:t>
      </w:r>
      <w:r w:rsidR="003344E3">
        <w:t xml:space="preserve"> </w:t>
      </w:r>
      <w:r w:rsidR="00EC3411">
        <w:t>constructed directly on top of the burial ground.</w:t>
      </w:r>
      <w:r w:rsidR="005D0B3B">
        <w:rPr>
          <w:rStyle w:val="Refdenotaalpie"/>
        </w:rPr>
        <w:footnoteReference w:id="3"/>
      </w:r>
      <w:r w:rsidR="003B6D9A">
        <w:t xml:space="preserve"> </w:t>
      </w:r>
    </w:p>
    <w:p w14:paraId="2A07B065" w14:textId="7CD943D8" w:rsidR="00D2232E" w:rsidRDefault="003B6D9A" w:rsidP="00D2232E">
      <w:pPr>
        <w:tabs>
          <w:tab w:val="left" w:pos="3653"/>
        </w:tabs>
        <w:ind w:firstLine="737"/>
      </w:pPr>
      <w:r>
        <w:t>This urban space is particularly remarkable for the level of attention it has received by the City of Edmonton, as well as EPCOR, a private resource company, following the 2005 official commemoration of the site as the Fort Edmonton Cemetery/Aboriginal Burial Ground, the same year the province of Alberta celebrated its centennial.</w:t>
      </w:r>
      <w:r>
        <w:rPr>
          <w:rStyle w:val="Refdenotaalpie"/>
        </w:rPr>
        <w:footnoteReference w:id="4"/>
      </w:r>
      <w:r>
        <w:t xml:space="preserve"> The</w:t>
      </w:r>
      <w:r w:rsidR="000E0DED">
        <w:t xml:space="preserve"> historical</w:t>
      </w:r>
      <w:r>
        <w:t xml:space="preserve"> myth that continues to be perpetuated </w:t>
      </w:r>
      <w:r w:rsidR="000E0DED">
        <w:t>about</w:t>
      </w:r>
      <w:r w:rsidR="005007FA">
        <w:t xml:space="preserve"> </w:t>
      </w:r>
      <w:r>
        <w:t>this s</w:t>
      </w:r>
      <w:r w:rsidR="000E0DED">
        <w:t>ite</w:t>
      </w:r>
      <w:r>
        <w:t xml:space="preserve"> has led the collective consciousness of the majority to believe that </w:t>
      </w:r>
      <w:r w:rsidR="00DE369A">
        <w:t>it</w:t>
      </w:r>
      <w:r>
        <w:t xml:space="preserve"> was </w:t>
      </w:r>
      <w:r w:rsidR="00082440">
        <w:t>‘</w:t>
      </w:r>
      <w:r>
        <w:t>forgotten</w:t>
      </w:r>
      <w:r w:rsidR="00082440">
        <w:t>’</w:t>
      </w:r>
      <w:r>
        <w:t xml:space="preserve"> and only recently</w:t>
      </w:r>
      <w:r w:rsidR="00675CC7">
        <w:t xml:space="preserve"> rediscovered</w:t>
      </w:r>
      <w:r>
        <w:t xml:space="preserve">; however, it </w:t>
      </w:r>
      <w:r>
        <w:lastRenderedPageBreak/>
        <w:t xml:space="preserve">has been demonstrated that </w:t>
      </w:r>
      <w:r w:rsidR="003344E3">
        <w:t xml:space="preserve">at no point in time </w:t>
      </w:r>
      <w:r w:rsidR="00843059">
        <w:t>over the</w:t>
      </w:r>
      <w:r w:rsidR="0046675E">
        <w:t xml:space="preserve"> </w:t>
      </w:r>
      <w:r w:rsidR="00843059">
        <w:t xml:space="preserve">one-hundred and fifty years since the </w:t>
      </w:r>
      <w:r w:rsidR="000E0DED">
        <w:t xml:space="preserve">sites </w:t>
      </w:r>
      <w:r w:rsidR="00843059">
        <w:t>last internment has th</w:t>
      </w:r>
      <w:r w:rsidR="000E0DED">
        <w:t>e original</w:t>
      </w:r>
      <w:r w:rsidR="00843059">
        <w:t xml:space="preserve"> function of th</w:t>
      </w:r>
      <w:r w:rsidR="003344E3">
        <w:t xml:space="preserve">e </w:t>
      </w:r>
      <w:r w:rsidR="00843059">
        <w:t>space been forgotten</w:t>
      </w:r>
      <w:r w:rsidR="00675CC7">
        <w:t xml:space="preserve"> by </w:t>
      </w:r>
      <w:r w:rsidR="00D2232E">
        <w:rPr>
          <w:noProof/>
        </w:rPr>
        <w:drawing>
          <wp:anchor distT="144145" distB="0" distL="114300" distR="114300" simplePos="0" relativeHeight="251658240" behindDoc="0" locked="0" layoutInCell="1" allowOverlap="1" wp14:anchorId="7A3FAAE3" wp14:editId="29CF4B39">
            <wp:simplePos x="0" y="0"/>
            <wp:positionH relativeFrom="margin">
              <wp:align>center</wp:align>
            </wp:positionH>
            <wp:positionV relativeFrom="page">
              <wp:posOffset>2101215</wp:posOffset>
            </wp:positionV>
            <wp:extent cx="4380865" cy="2735580"/>
            <wp:effectExtent l="0" t="0" r="635" b="7620"/>
            <wp:wrapTopAndBottom/>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8" cstate="print">
                      <a:extLst>
                        <a:ext uri="{28A0092B-C50C-407E-A947-70E740481C1C}">
                          <a14:useLocalDpi xmlns:a14="http://schemas.microsoft.com/office/drawing/2010/main" val="0"/>
                        </a:ext>
                      </a:extLst>
                    </a:blip>
                    <a:srcRect l="24781" t="15021" r="13018" b="55955"/>
                    <a:stretch/>
                  </pic:blipFill>
                  <pic:spPr bwMode="auto">
                    <a:xfrm>
                      <a:off x="0" y="0"/>
                      <a:ext cx="4380865" cy="273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CC7">
        <w:t>stakeholders</w:t>
      </w:r>
      <w:r w:rsidR="00843059">
        <w:t>, and that includes on behalf of the City of Edmonton.</w:t>
      </w:r>
      <w:r w:rsidR="00843059">
        <w:rPr>
          <w:rStyle w:val="Refdenotaalpie"/>
        </w:rPr>
        <w:footnoteReference w:id="5"/>
      </w:r>
      <w:r w:rsidR="000E0DED">
        <w:t xml:space="preserve"> </w:t>
      </w:r>
    </w:p>
    <w:p w14:paraId="1E05D31D" w14:textId="04C64856" w:rsidR="00B42759" w:rsidRDefault="00B42759" w:rsidP="00B42759">
      <w:pPr>
        <w:tabs>
          <w:tab w:val="left" w:pos="3653"/>
        </w:tabs>
        <w:ind w:left="708"/>
      </w:pPr>
      <w:r>
        <w:t>Figure 1.</w:t>
      </w:r>
      <w:r>
        <w:rPr>
          <w:rStyle w:val="Refdenotaalpie"/>
        </w:rPr>
        <w:footnoteReference w:id="6"/>
      </w:r>
    </w:p>
    <w:p w14:paraId="45D1B833" w14:textId="77777777" w:rsidR="00D2232E" w:rsidRDefault="00D2232E" w:rsidP="00B42759">
      <w:pPr>
        <w:tabs>
          <w:tab w:val="left" w:pos="3653"/>
        </w:tabs>
        <w:ind w:left="708"/>
      </w:pPr>
    </w:p>
    <w:p w14:paraId="669C4F5E" w14:textId="77777777" w:rsidR="00B42759" w:rsidRDefault="00B42759" w:rsidP="00B42759">
      <w:pPr>
        <w:tabs>
          <w:tab w:val="left" w:pos="3653"/>
        </w:tabs>
        <w:ind w:left="708"/>
      </w:pPr>
      <w:r>
        <w:t>Fig. 1 is a</w:t>
      </w:r>
      <w:r w:rsidR="00556D93">
        <w:t xml:space="preserve"> plaque from the site </w:t>
      </w:r>
      <w:r>
        <w:t xml:space="preserve">that </w:t>
      </w:r>
      <w:r w:rsidR="00556D93">
        <w:t xml:space="preserve">reads </w:t>
      </w:r>
      <w:r w:rsidR="00843059">
        <w:t>“</w:t>
      </w:r>
      <w:r w:rsidR="00B94630">
        <w:t>d</w:t>
      </w:r>
      <w:r w:rsidR="00843059">
        <w:t xml:space="preserve">edicated to the people of Alberta to </w:t>
      </w:r>
    </w:p>
    <w:p w14:paraId="239279FF" w14:textId="19C26C61" w:rsidR="00BE0D43" w:rsidRDefault="00843059" w:rsidP="00B42759">
      <w:pPr>
        <w:tabs>
          <w:tab w:val="left" w:pos="3653"/>
        </w:tabs>
      </w:pPr>
      <w:r>
        <w:t>commemorate Alberta’s 100</w:t>
      </w:r>
      <w:r w:rsidRPr="00843059">
        <w:rPr>
          <w:vertAlign w:val="superscript"/>
        </w:rPr>
        <w:t>th</w:t>
      </w:r>
      <w:r>
        <w:t xml:space="preserve"> </w:t>
      </w:r>
      <w:r w:rsidR="0046675E">
        <w:t>a</w:t>
      </w:r>
      <w:r>
        <w:t>nniversary as a proud member of Canadian confederation.”</w:t>
      </w:r>
      <w:r w:rsidR="00B42759">
        <w:t xml:space="preserve"> </w:t>
      </w:r>
      <w:r>
        <w:t>It remains to be seen the ways in which the state positions itself as an authority over the designation of space usage</w:t>
      </w:r>
      <w:r w:rsidR="00556D93">
        <w:t>. Considering the historical panels installed within the vicinity</w:t>
      </w:r>
      <w:r w:rsidR="002E1FD0">
        <w:t xml:space="preserve"> that cement settler history in the region</w:t>
      </w:r>
      <w:r w:rsidR="00556D93">
        <w:t>, the state is also</w:t>
      </w:r>
      <w:r>
        <w:t xml:space="preserve"> central to the production of </w:t>
      </w:r>
      <w:r>
        <w:lastRenderedPageBreak/>
        <w:t>historical consciousness</w:t>
      </w:r>
      <w:r w:rsidR="008C0543">
        <w:t xml:space="preserve"> publicly</w:t>
      </w:r>
      <w:r>
        <w:t xml:space="preserve">. Of noteworthy interest is the dedication to all people of Alberta, which can be further reduced </w:t>
      </w:r>
      <w:r w:rsidR="008C0543">
        <w:t>to</w:t>
      </w:r>
      <w:r>
        <w:t xml:space="preserve"> the class of people that recognize</w:t>
      </w:r>
      <w:r w:rsidR="008C0543">
        <w:t xml:space="preserve"> and depend upon</w:t>
      </w:r>
      <w:r>
        <w:t xml:space="preserve"> the legitimacy</w:t>
      </w:r>
      <w:r w:rsidR="007D5091">
        <w:t xml:space="preserve"> and authority</w:t>
      </w:r>
      <w:r>
        <w:t xml:space="preserve"> of Alberta</w:t>
      </w:r>
      <w:r w:rsidR="007D5091">
        <w:t xml:space="preserve"> as a measure of governance</w:t>
      </w:r>
      <w:r>
        <w:t>: settler</w:t>
      </w:r>
      <w:r w:rsidR="00FD60BF">
        <w:t xml:space="preserve"> Canadians. </w:t>
      </w:r>
    </w:p>
    <w:p w14:paraId="6636DEF6" w14:textId="518A897E" w:rsidR="008C0543" w:rsidRDefault="00FD60BF" w:rsidP="008C0543">
      <w:pPr>
        <w:tabs>
          <w:tab w:val="left" w:pos="3653"/>
        </w:tabs>
        <w:ind w:firstLine="737"/>
      </w:pPr>
      <w:r>
        <w:t>Th</w:t>
      </w:r>
      <w:r w:rsidR="008C0543">
        <w:t>e significance of the site for Indigenous Peoples, in particular the Papaschase Band</w:t>
      </w:r>
      <w:r w:rsidR="003344E3">
        <w:t>,</w:t>
      </w:r>
      <w:r w:rsidR="008C0543">
        <w:t xml:space="preserve"> as a space of </w:t>
      </w:r>
      <w:r w:rsidR="00375982">
        <w:t xml:space="preserve">commemoration and </w:t>
      </w:r>
      <w:r w:rsidR="008C0543">
        <w:t xml:space="preserve">reclamation that challenges </w:t>
      </w:r>
      <w:r w:rsidR="00375982">
        <w:t xml:space="preserve">the </w:t>
      </w:r>
      <w:r w:rsidR="008C0543">
        <w:t>ongoing erasure of Indigenous Peoples</w:t>
      </w:r>
      <w:r>
        <w:t>,</w:t>
      </w:r>
      <w:r w:rsidR="008C0543">
        <w:t xml:space="preserve"> outweighs and predates settler claims stemming from the fur-trade </w:t>
      </w:r>
      <w:r w:rsidR="003E326B">
        <w:t>and</w:t>
      </w:r>
      <w:r w:rsidR="0046675E">
        <w:t xml:space="preserve"> </w:t>
      </w:r>
      <w:r w:rsidR="00556D93">
        <w:t xml:space="preserve">the </w:t>
      </w:r>
      <w:r w:rsidR="003E326B">
        <w:t xml:space="preserve">adoption of the </w:t>
      </w:r>
      <w:r w:rsidR="00A02A74">
        <w:t>site</w:t>
      </w:r>
      <w:r w:rsidR="003E326B">
        <w:t xml:space="preserve"> by missionaries </w:t>
      </w:r>
      <w:r w:rsidR="003344E3">
        <w:t>into</w:t>
      </w:r>
      <w:r w:rsidR="003E326B">
        <w:t xml:space="preserve"> what became</w:t>
      </w:r>
      <w:r w:rsidR="003344E3">
        <w:t xml:space="preserve"> known as</w:t>
      </w:r>
      <w:r w:rsidR="003E326B">
        <w:t xml:space="preserve"> the Fort Edmonton Cemetery.</w:t>
      </w:r>
      <w:r w:rsidR="003E326B">
        <w:rPr>
          <w:rStyle w:val="Refdenotaalpie"/>
        </w:rPr>
        <w:footnoteReference w:id="7"/>
      </w:r>
      <w:r w:rsidR="003E326B">
        <w:t xml:space="preserve"> The larger impetus for th</w:t>
      </w:r>
      <w:r w:rsidR="00A02A74">
        <w:t>e 2005</w:t>
      </w:r>
      <w:r w:rsidR="003E326B">
        <w:t xml:space="preserve"> commemorative project and site recognition was Indigenous advocacy and research methodology that privileged oral tradition </w:t>
      </w:r>
      <w:r w:rsidR="003344E3">
        <w:t>as equal</w:t>
      </w:r>
      <w:r w:rsidR="003E326B">
        <w:t xml:space="preserve"> </w:t>
      </w:r>
      <w:r w:rsidR="003344E3">
        <w:t>to</w:t>
      </w:r>
      <w:r w:rsidR="003E326B">
        <w:t xml:space="preserve"> written record, most </w:t>
      </w:r>
      <w:r w:rsidR="003344E3">
        <w:t>notably</w:t>
      </w:r>
      <w:r w:rsidR="0046675E">
        <w:t xml:space="preserve"> conducted</w:t>
      </w:r>
      <w:r w:rsidR="003E326B">
        <w:t xml:space="preserve"> during the Rossdale Flats Aboriginal Oral Histories Project (RFAOHP).</w:t>
      </w:r>
      <w:r w:rsidR="003E326B">
        <w:rPr>
          <w:rStyle w:val="Refdenotaalpie"/>
        </w:rPr>
        <w:footnoteReference w:id="8"/>
      </w:r>
      <w:r w:rsidR="003E326B">
        <w:t xml:space="preserve"> This same patch of land where pekiwewin camp advocated for Land Back, Indigenous sovereignty, and t</w:t>
      </w:r>
      <w:r w:rsidR="00C27BF8">
        <w:t>o</w:t>
      </w:r>
      <w:r w:rsidR="003E326B">
        <w:t xml:space="preserve"> de-center the settler colonial state </w:t>
      </w:r>
      <w:r w:rsidR="00C27BF8">
        <w:t>as a method to</w:t>
      </w:r>
      <w:r w:rsidR="00A02A74">
        <w:t xml:space="preserve"> solve </w:t>
      </w:r>
      <w:r w:rsidR="00556D93">
        <w:t xml:space="preserve">Indigenous </w:t>
      </w:r>
      <w:r w:rsidR="003344E3">
        <w:t>homelessness</w:t>
      </w:r>
      <w:r w:rsidR="003E326B">
        <w:t xml:space="preserve"> </w:t>
      </w:r>
      <w:r>
        <w:t xml:space="preserve">was </w:t>
      </w:r>
      <w:r w:rsidR="003E326B">
        <w:t>historically a s</w:t>
      </w:r>
      <w:r w:rsidR="003344E3">
        <w:t>ite</w:t>
      </w:r>
      <w:r w:rsidR="003E326B">
        <w:t xml:space="preserve"> </w:t>
      </w:r>
      <w:r w:rsidR="00C27BF8">
        <w:t>of</w:t>
      </w:r>
      <w:r w:rsidR="003E326B">
        <w:t xml:space="preserve"> Indigenous encampments</w:t>
      </w:r>
      <w:r w:rsidR="002C0540">
        <w:t>.</w:t>
      </w:r>
      <w:r w:rsidR="003E326B">
        <w:t xml:space="preserve"> </w:t>
      </w:r>
      <w:r w:rsidR="002C0540">
        <w:t>Notably,</w:t>
      </w:r>
      <w:r w:rsidR="003E326B">
        <w:t xml:space="preserve"> the </w:t>
      </w:r>
      <w:r w:rsidR="007F380E">
        <w:t xml:space="preserve">approved </w:t>
      </w:r>
      <w:r w:rsidR="003E326B">
        <w:t>record only beg</w:t>
      </w:r>
      <w:r w:rsidR="007E7B4C">
        <w:t>an</w:t>
      </w:r>
      <w:r w:rsidR="003E326B">
        <w:t xml:space="preserve"> documenting this </w:t>
      </w:r>
      <w:r w:rsidR="007E7B4C">
        <w:t>activity</w:t>
      </w:r>
      <w:r w:rsidR="003E326B">
        <w:t xml:space="preserve"> during the first quarter of the 20</w:t>
      </w:r>
      <w:r w:rsidR="003E326B" w:rsidRPr="003E326B">
        <w:rPr>
          <w:vertAlign w:val="superscript"/>
        </w:rPr>
        <w:t>th</w:t>
      </w:r>
      <w:r w:rsidR="003E326B">
        <w:t xml:space="preserve"> century when Indigenous Peoples would migrate</w:t>
      </w:r>
      <w:r w:rsidR="007F380E">
        <w:t xml:space="preserve"> t</w:t>
      </w:r>
      <w:r w:rsidR="003344E3">
        <w:t>o the space</w:t>
      </w:r>
      <w:r w:rsidR="003E326B">
        <w:t xml:space="preserve"> </w:t>
      </w:r>
      <w:r w:rsidR="003344E3">
        <w:t>and</w:t>
      </w:r>
      <w:r w:rsidR="003E326B">
        <w:t xml:space="preserve"> collect treaty annuities.</w:t>
      </w:r>
      <w:r w:rsidR="003E326B">
        <w:rPr>
          <w:rStyle w:val="Refdenotaalpie"/>
        </w:rPr>
        <w:footnoteReference w:id="9"/>
      </w:r>
      <w:r w:rsidR="003E326B">
        <w:t xml:space="preserve"> </w:t>
      </w:r>
      <w:r>
        <w:t>T</w:t>
      </w:r>
      <w:r w:rsidR="003E326B">
        <w:t xml:space="preserve">he civic repurposing of the space and its </w:t>
      </w:r>
      <w:r w:rsidR="001D3614">
        <w:t>designation</w:t>
      </w:r>
      <w:r w:rsidR="003E326B">
        <w:t xml:space="preserve"> as public parkland (which cannot be inhabited </w:t>
      </w:r>
      <w:r w:rsidR="001D3614">
        <w:t xml:space="preserve">from </w:t>
      </w:r>
      <w:r w:rsidR="003E326B">
        <w:t xml:space="preserve">10 P.M </w:t>
      </w:r>
      <w:r w:rsidR="001D3614">
        <w:t>to 5 A.M.</w:t>
      </w:r>
      <w:r w:rsidR="003E326B">
        <w:t xml:space="preserve"> </w:t>
      </w:r>
      <w:r w:rsidR="001D3614">
        <w:t xml:space="preserve">daily </w:t>
      </w:r>
      <w:r w:rsidR="003E326B">
        <w:t xml:space="preserve">according to </w:t>
      </w:r>
      <w:r w:rsidR="00C27BF8">
        <w:t>C</w:t>
      </w:r>
      <w:r w:rsidR="003E326B">
        <w:t xml:space="preserve">ity </w:t>
      </w:r>
      <w:r w:rsidR="00C27BF8">
        <w:t>B</w:t>
      </w:r>
      <w:r w:rsidR="003E326B">
        <w:t>ylaws) serves the covert function of erasing th</w:t>
      </w:r>
      <w:r w:rsidR="00556D93">
        <w:t>e</w:t>
      </w:r>
      <w:r w:rsidR="003E326B">
        <w:t xml:space="preserve"> historical record from the public consciousness </w:t>
      </w:r>
      <w:r w:rsidR="00C83286">
        <w:t>by literally quelling the ability of Indigenous Peoples to claim</w:t>
      </w:r>
      <w:r w:rsidR="00443BC4">
        <w:t xml:space="preserve"> space</w:t>
      </w:r>
      <w:r w:rsidR="00C83286">
        <w:t xml:space="preserve"> on this territory</w:t>
      </w:r>
      <w:r w:rsidR="003E326B">
        <w:t>.</w:t>
      </w:r>
      <w:r w:rsidR="00C83286">
        <w:rPr>
          <w:rStyle w:val="Refdenotaalpie"/>
        </w:rPr>
        <w:footnoteReference w:id="10"/>
      </w:r>
      <w:r w:rsidR="007F380E">
        <w:t xml:space="preserve"> </w:t>
      </w:r>
    </w:p>
    <w:p w14:paraId="3A092B74" w14:textId="1800FF4E" w:rsidR="00082440" w:rsidRDefault="007F380E" w:rsidP="00556D93">
      <w:pPr>
        <w:tabs>
          <w:tab w:val="left" w:pos="3653"/>
        </w:tabs>
        <w:ind w:firstLine="737"/>
      </w:pPr>
      <w:r w:rsidRPr="00FD60BF">
        <w:lastRenderedPageBreak/>
        <w:t>Ultimately, it is against the interests of the state</w:t>
      </w:r>
      <w:r w:rsidR="000E7E49" w:rsidRPr="00FD60BF">
        <w:t xml:space="preserve"> to </w:t>
      </w:r>
      <w:r w:rsidRPr="00FD60BF">
        <w:t xml:space="preserve">acknowledge divergent ways of being </w:t>
      </w:r>
      <w:r w:rsidR="000E7E49" w:rsidRPr="00FD60BF">
        <w:t>in relation to</w:t>
      </w:r>
      <w:r w:rsidRPr="00FD60BF">
        <w:t xml:space="preserve"> these lands that are extrinsic to settler colonialism</w:t>
      </w:r>
      <w:r w:rsidR="00C27BF8" w:rsidRPr="00FD60BF">
        <w:t>.</w:t>
      </w:r>
      <w:r w:rsidRPr="00FD60BF">
        <w:t xml:space="preserve"> </w:t>
      </w:r>
      <w:r w:rsidR="00C27BF8" w:rsidRPr="00FD60BF">
        <w:t>S</w:t>
      </w:r>
      <w:r w:rsidRPr="00FD60BF">
        <w:t xml:space="preserve">ettler colonialism demands Indigenous relationships to the land be disrupted so that these same spaces can be reimagined as extractable resource commodities for </w:t>
      </w:r>
      <w:r w:rsidR="002E1FD0">
        <w:t>the benefit of</w:t>
      </w:r>
      <w:r w:rsidR="005F29D8" w:rsidRPr="00FD60BF">
        <w:t xml:space="preserve"> the majority</w:t>
      </w:r>
      <w:r w:rsidRPr="00FD60BF">
        <w:t xml:space="preserve"> settler society.</w:t>
      </w:r>
      <w:r w:rsidRPr="00FD60BF">
        <w:rPr>
          <w:rStyle w:val="Refdenotaalpie"/>
        </w:rPr>
        <w:footnoteReference w:id="11"/>
      </w:r>
      <w:r>
        <w:t xml:space="preserve"> </w:t>
      </w:r>
      <w:r w:rsidR="00C27BF8">
        <w:t>A</w:t>
      </w:r>
      <w:r>
        <w:t xml:space="preserve">s has been documented, settler cities ignore Indigenous land </w:t>
      </w:r>
      <w:r w:rsidR="002E1FD0">
        <w:t>claims</w:t>
      </w:r>
      <w:r>
        <w:t xml:space="preserve"> </w:t>
      </w:r>
      <w:r w:rsidR="00C27BF8">
        <w:t>using the</w:t>
      </w:r>
      <w:r>
        <w:t xml:space="preserve"> </w:t>
      </w:r>
      <w:r w:rsidR="0046675E" w:rsidRPr="0046675E">
        <w:rPr>
          <w:i/>
          <w:iCs/>
        </w:rPr>
        <w:t>terra nullius</w:t>
      </w:r>
      <w:r w:rsidR="0046675E">
        <w:t xml:space="preserve"> myth</w:t>
      </w:r>
      <w:r>
        <w:t xml:space="preserve"> t</w:t>
      </w:r>
      <w:r w:rsidR="00C27BF8">
        <w:t>o</w:t>
      </w:r>
      <w:r>
        <w:t xml:space="preserve"> inform the collective settler consciousness </w:t>
      </w:r>
      <w:r w:rsidR="0046675E">
        <w:t xml:space="preserve">and consolidate its </w:t>
      </w:r>
      <w:r w:rsidR="00C27BF8">
        <w:t>authority</w:t>
      </w:r>
      <w:r w:rsidR="0046675E">
        <w:t>.</w:t>
      </w:r>
      <w:r w:rsidR="00082440">
        <w:rPr>
          <w:rStyle w:val="Refdenotaalpie"/>
        </w:rPr>
        <w:footnoteReference w:id="12"/>
      </w:r>
      <w:r w:rsidR="00082440">
        <w:t xml:space="preserve"> In this way, camp pekiwewin threatened the urban settled space as more than just a volunteer encampment that did for the local </w:t>
      </w:r>
      <w:r w:rsidR="005F29D8">
        <w:t>homeless</w:t>
      </w:r>
      <w:r w:rsidR="00082440">
        <w:t xml:space="preserve"> population what the municipality seemingly could not during the COVID-19 global pandemic</w:t>
      </w:r>
      <w:r w:rsidR="00C27BF8" w:rsidRPr="00556D93">
        <w:t>.</w:t>
      </w:r>
      <w:r w:rsidR="00556D93" w:rsidRPr="00556D93">
        <w:t xml:space="preserve"> The camp</w:t>
      </w:r>
      <w:r w:rsidR="00314729" w:rsidRPr="00556D93">
        <w:t xml:space="preserve"> </w:t>
      </w:r>
      <w:r w:rsidR="00556D93" w:rsidRPr="00556D93">
        <w:t>demonstrated how anti-Indigeneity has been legislated into</w:t>
      </w:r>
      <w:r w:rsidR="00082440" w:rsidRPr="00556D93">
        <w:t xml:space="preserve"> urban spaces </w:t>
      </w:r>
      <w:r w:rsidR="00556D93" w:rsidRPr="00556D93">
        <w:t xml:space="preserve">as a </w:t>
      </w:r>
      <w:r w:rsidR="00082440" w:rsidRPr="00556D93">
        <w:t xml:space="preserve">means of </w:t>
      </w:r>
      <w:r w:rsidR="003344E3" w:rsidRPr="00556D93">
        <w:t>establishing</w:t>
      </w:r>
      <w:r w:rsidR="00082440" w:rsidRPr="00556D93">
        <w:t xml:space="preserve"> </w:t>
      </w:r>
      <w:r w:rsidR="002E1FD0">
        <w:t xml:space="preserve">colonial </w:t>
      </w:r>
      <w:r w:rsidR="00082440" w:rsidRPr="00556D93">
        <w:t>power.</w:t>
      </w:r>
      <w:r w:rsidR="00082440" w:rsidRPr="00556D93">
        <w:rPr>
          <w:rStyle w:val="Refdenotaalpie"/>
        </w:rPr>
        <w:footnoteReference w:id="13"/>
      </w:r>
      <w:r w:rsidR="00082440">
        <w:t xml:space="preserve"> </w:t>
      </w:r>
    </w:p>
    <w:p w14:paraId="6E08CF54" w14:textId="02957D93" w:rsidR="00806DC8" w:rsidRDefault="00806DC8" w:rsidP="006E37AB">
      <w:pPr>
        <w:ind w:firstLine="708"/>
        <w:rPr>
          <w:noProof/>
        </w:rPr>
      </w:pPr>
      <w:r>
        <w:rPr>
          <w:noProof/>
        </w:rPr>
        <w:t>The proceeding image is from the forced closure of camp pekiwewin on November 17</w:t>
      </w:r>
      <w:r w:rsidRPr="00662B11">
        <w:rPr>
          <w:noProof/>
          <w:vertAlign w:val="superscript"/>
        </w:rPr>
        <w:t>th</w:t>
      </w:r>
      <w:r>
        <w:rPr>
          <w:noProof/>
        </w:rPr>
        <w:t xml:space="preserve">, 2020 when </w:t>
      </w:r>
      <w:r w:rsidR="00C27BF8">
        <w:rPr>
          <w:noProof/>
        </w:rPr>
        <w:t>approximately</w:t>
      </w:r>
      <w:r>
        <w:rPr>
          <w:noProof/>
        </w:rPr>
        <w:t xml:space="preserve"> thirty Edmonton police officers erected a fence around the site and </w:t>
      </w:r>
      <w:r w:rsidR="00C27BF8">
        <w:rPr>
          <w:noProof/>
        </w:rPr>
        <w:t xml:space="preserve">forcibly </w:t>
      </w:r>
      <w:r>
        <w:rPr>
          <w:noProof/>
        </w:rPr>
        <w:t>removed</w:t>
      </w:r>
      <w:r w:rsidR="00C27BF8">
        <w:rPr>
          <w:noProof/>
        </w:rPr>
        <w:t xml:space="preserve"> the persons living rough there</w:t>
      </w:r>
      <w:r>
        <w:rPr>
          <w:noProof/>
        </w:rPr>
        <w:t xml:space="preserve">. Ironically, organizers had asked the municipality repeatedly to errect fencing around the parkland due to the </w:t>
      </w:r>
      <w:r w:rsidR="002E1FD0">
        <w:rPr>
          <w:noProof/>
        </w:rPr>
        <w:t xml:space="preserve">heavy </w:t>
      </w:r>
      <w:r>
        <w:rPr>
          <w:noProof/>
        </w:rPr>
        <w:t xml:space="preserve">traffic on Rossdale Road, </w:t>
      </w:r>
      <w:r w:rsidR="002E1FD0">
        <w:rPr>
          <w:noProof/>
        </w:rPr>
        <w:t>but</w:t>
      </w:r>
      <w:r>
        <w:rPr>
          <w:noProof/>
        </w:rPr>
        <w:t xml:space="preserve"> only saw </w:t>
      </w:r>
      <w:r w:rsidR="00556D93">
        <w:rPr>
          <w:noProof/>
        </w:rPr>
        <w:t xml:space="preserve">fulfillment </w:t>
      </w:r>
      <w:r>
        <w:rPr>
          <w:noProof/>
        </w:rPr>
        <w:t>of the request as a measure of policing. The provincial legislature building can be seen from between the trees in the top right corner of</w:t>
      </w:r>
      <w:r w:rsidR="00B42759">
        <w:rPr>
          <w:noProof/>
        </w:rPr>
        <w:t xml:space="preserve"> </w:t>
      </w:r>
      <w:r w:rsidR="00B42759">
        <w:rPr>
          <w:noProof/>
        </w:rPr>
        <w:lastRenderedPageBreak/>
        <w:t>Figure 2</w:t>
      </w:r>
      <w:r>
        <w:rPr>
          <w:noProof/>
        </w:rPr>
        <w:t>.</w:t>
      </w:r>
      <w:r w:rsidR="00B42759">
        <w:rPr>
          <w:noProof/>
        </w:rPr>
        <w:t xml:space="preserve"> </w:t>
      </w:r>
      <w:r w:rsidR="00A85211">
        <w:rPr>
          <w:noProof/>
        </w:rPr>
        <w:t xml:space="preserve">The foreshadowing offered by the placement of this park in relation to the legislature building </w:t>
      </w:r>
      <w:r w:rsidR="00005272">
        <w:rPr>
          <w:noProof/>
        </w:rPr>
        <w:t>ironically recalls how the population of people that are homeless remain underserved by these structures of governance</w:t>
      </w:r>
      <w:r w:rsidR="006E37AB">
        <w:rPr>
          <w:noProof/>
        </w:rPr>
        <w:t>.</w:t>
      </w:r>
    </w:p>
    <w:p w14:paraId="3C29880D" w14:textId="709E5222" w:rsidR="0021158C" w:rsidRPr="0021158C" w:rsidRDefault="0021158C" w:rsidP="0021158C">
      <w:pPr>
        <w:tabs>
          <w:tab w:val="left" w:pos="3653"/>
        </w:tabs>
        <w:ind w:firstLine="737"/>
      </w:pPr>
    </w:p>
    <w:p w14:paraId="709549C5" w14:textId="1BF1E688" w:rsidR="00662B11" w:rsidRDefault="00662B11" w:rsidP="00B42759">
      <w:pPr>
        <w:tabs>
          <w:tab w:val="left" w:pos="3653"/>
        </w:tabs>
        <w:rPr>
          <w:noProof/>
        </w:rPr>
      </w:pPr>
      <w:r>
        <w:rPr>
          <w:noProof/>
        </w:rPr>
        <w:drawing>
          <wp:inline distT="0" distB="0" distL="0" distR="0" wp14:anchorId="6501BB4A" wp14:editId="3D5B6FF6">
            <wp:extent cx="5592302" cy="5486065"/>
            <wp:effectExtent l="0" t="0" r="889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t="5774" r="-176" b="12369"/>
                    <a:stretch/>
                  </pic:blipFill>
                  <pic:spPr bwMode="auto">
                    <a:xfrm>
                      <a:off x="0" y="0"/>
                      <a:ext cx="5639013" cy="5531889"/>
                    </a:xfrm>
                    <a:prstGeom prst="rect">
                      <a:avLst/>
                    </a:prstGeom>
                    <a:ln>
                      <a:noFill/>
                    </a:ln>
                    <a:extLst>
                      <a:ext uri="{53640926-AAD7-44D8-BBD7-CCE9431645EC}">
                        <a14:shadowObscured xmlns:a14="http://schemas.microsoft.com/office/drawing/2010/main"/>
                      </a:ext>
                    </a:extLst>
                  </pic:spPr>
                </pic:pic>
              </a:graphicData>
            </a:graphic>
          </wp:inline>
        </w:drawing>
      </w:r>
    </w:p>
    <w:p w14:paraId="17089878" w14:textId="0D03C801" w:rsidR="00662B11" w:rsidRPr="00662B11" w:rsidRDefault="00B42759" w:rsidP="00B42759">
      <w:pPr>
        <w:sectPr w:rsidR="00662B11" w:rsidRPr="00662B11" w:rsidSect="007167BE">
          <w:headerReference w:type="default" r:id="rId10"/>
          <w:pgSz w:w="12240" w:h="15840"/>
          <w:pgMar w:top="1417" w:right="1701" w:bottom="1417" w:left="1701" w:header="708" w:footer="708" w:gutter="0"/>
          <w:pgNumType w:start="1"/>
          <w:cols w:space="708"/>
          <w:docGrid w:linePitch="360"/>
        </w:sectPr>
      </w:pPr>
      <w:r>
        <w:t>Figure 2.</w:t>
      </w:r>
      <w:r>
        <w:rPr>
          <w:rStyle w:val="Refdenotaalpie"/>
        </w:rPr>
        <w:footnoteReference w:id="14"/>
      </w:r>
    </w:p>
    <w:p w14:paraId="3E511BB7" w14:textId="0960BC95" w:rsidR="004E6A43" w:rsidRDefault="00562AEA" w:rsidP="00AA6A9F">
      <w:pPr>
        <w:ind w:firstLine="708"/>
      </w:pPr>
      <w:r>
        <w:lastRenderedPageBreak/>
        <w:t>To begin</w:t>
      </w:r>
      <w:r w:rsidR="00AA6A9F">
        <w:t xml:space="preserve"> </w:t>
      </w:r>
      <w:r w:rsidR="006E37AB">
        <w:t>an</w:t>
      </w:r>
      <w:r w:rsidR="00AA6A9F">
        <w:t xml:space="preserve"> analysis of the function of this space </w:t>
      </w:r>
      <w:r w:rsidR="006E37AB">
        <w:t>with</w:t>
      </w:r>
      <w:r w:rsidR="00EE3A8A">
        <w:t>in</w:t>
      </w:r>
      <w:r w:rsidR="00AA6A9F">
        <w:t xml:space="preserve"> a historiographic framework</w:t>
      </w:r>
      <w:r>
        <w:t xml:space="preserve">, it is necessary to acknowledge that people </w:t>
      </w:r>
      <w:r w:rsidR="00696EC0">
        <w:t>who</w:t>
      </w:r>
      <w:r>
        <w:t xml:space="preserve"> are</w:t>
      </w:r>
      <w:r w:rsidR="00696EC0">
        <w:t xml:space="preserve"> currently</w:t>
      </w:r>
      <w:r>
        <w:t xml:space="preserve"> homeless</w:t>
      </w:r>
      <w:r w:rsidR="00365975">
        <w:t xml:space="preserve"> </w:t>
      </w:r>
      <w:r>
        <w:t xml:space="preserve">are human beings first and </w:t>
      </w:r>
      <w:r w:rsidR="00696EC0">
        <w:t xml:space="preserve">that </w:t>
      </w:r>
      <w:r>
        <w:t>the language used in research methodology should always reflect this.</w:t>
      </w:r>
      <w:r>
        <w:rPr>
          <w:rStyle w:val="Refdenotaalpie"/>
        </w:rPr>
        <w:footnoteReference w:id="15"/>
      </w:r>
      <w:r w:rsidR="004E6A43">
        <w:t xml:space="preserve"> For clarity, the purpose of this historiographic research is not to define or categorize the Indigenous Peoples that have lived experiences with homelessness, but to critique through a historiographic lens the ways in which settler colonial urban spaces perpetuate patterns of homelessness that </w:t>
      </w:r>
      <w:r w:rsidR="00365975">
        <w:t xml:space="preserve">in turn </w:t>
      </w:r>
      <w:r w:rsidR="004E6A43">
        <w:t>disproportionately affect Indigenous Peoples.</w:t>
      </w:r>
      <w:r w:rsidR="004E6A43">
        <w:rPr>
          <w:rStyle w:val="Refdenotaalpie"/>
        </w:rPr>
        <w:footnoteReference w:id="16"/>
      </w:r>
      <w:r w:rsidR="004E6A43">
        <w:t xml:space="preserve"> </w:t>
      </w:r>
      <w:r w:rsidR="00ED1947">
        <w:t>Indeed, an analysis of the different ways in which settler state governance has affected diverse Indigenous groups is outside the scope of this research, and care must be taken not to prescribe pan-indigeneity to Indigenous groups via the homogeniz</w:t>
      </w:r>
      <w:r w:rsidR="002E1FD0">
        <w:t>ation</w:t>
      </w:r>
      <w:r w:rsidR="00ED1947">
        <w:t xml:space="preserve"> of experience as is typica</w:t>
      </w:r>
      <w:r w:rsidR="002E1FD0">
        <w:t>l to</w:t>
      </w:r>
      <w:r w:rsidR="00431E09">
        <w:t xml:space="preserve"> </w:t>
      </w:r>
      <w:r w:rsidR="00ED1947">
        <w:t>historical narratives.</w:t>
      </w:r>
      <w:r w:rsidR="00ED1947">
        <w:rPr>
          <w:rStyle w:val="Refdenotaalpie"/>
        </w:rPr>
        <w:footnoteReference w:id="17"/>
      </w:r>
      <w:r w:rsidR="00ED1947">
        <w:t xml:space="preserve"> </w:t>
      </w:r>
      <w:r w:rsidR="00431E09">
        <w:t>Accordingly</w:t>
      </w:r>
      <w:r w:rsidR="00ED1947">
        <w:t>, the objective of th</w:t>
      </w:r>
      <w:r w:rsidR="00D46E7D">
        <w:t>is</w:t>
      </w:r>
      <w:r w:rsidR="00ED1947">
        <w:t xml:space="preserve"> historiographic analysis</w:t>
      </w:r>
      <w:r w:rsidR="00276907">
        <w:t xml:space="preserve"> </w:t>
      </w:r>
      <w:r w:rsidR="00ED1947">
        <w:t>is to understand how</w:t>
      </w:r>
      <w:r w:rsidR="0082207D">
        <w:t xml:space="preserve"> contemporary</w:t>
      </w:r>
      <w:r w:rsidR="00ED1947">
        <w:t xml:space="preserve"> scholars </w:t>
      </w:r>
      <w:r w:rsidR="0082207D">
        <w:t xml:space="preserve">have </w:t>
      </w:r>
      <w:r w:rsidR="00ED1947">
        <w:t>interpret</w:t>
      </w:r>
      <w:r w:rsidR="0082207D">
        <w:t>ed</w:t>
      </w:r>
      <w:r w:rsidR="00ED1947">
        <w:t xml:space="preserve"> patterns of homelessness </w:t>
      </w:r>
      <w:r w:rsidR="00276907">
        <w:t>that affect</w:t>
      </w:r>
      <w:r w:rsidR="00ED1947">
        <w:t xml:space="preserve"> Indigenous Peoples under colonialism with a focus on urban spaces in the Canadian </w:t>
      </w:r>
      <w:r w:rsidR="003B1ADB">
        <w:t>p</w:t>
      </w:r>
      <w:r w:rsidR="00ED1947">
        <w:t xml:space="preserve">rairies. This research lens will explore how </w:t>
      </w:r>
      <w:r w:rsidR="002E1FD0">
        <w:t xml:space="preserve">the </w:t>
      </w:r>
      <w:r w:rsidR="00ED1947">
        <w:t xml:space="preserve">themes of </w:t>
      </w:r>
      <w:r w:rsidR="00ED1947">
        <w:lastRenderedPageBreak/>
        <w:t>historical myth</w:t>
      </w:r>
      <w:r w:rsidR="002E1FD0">
        <w:t>ology</w:t>
      </w:r>
      <w:r w:rsidR="00ED1947">
        <w:t>, criminalization, and Indigenous rootlessness as an assimilative project have shaped the character of homelessness in urbanized spaces.</w:t>
      </w:r>
      <w:r w:rsidR="00696EC0">
        <w:t xml:space="preserve"> </w:t>
      </w:r>
    </w:p>
    <w:p w14:paraId="6598BB37" w14:textId="48BC270D" w:rsidR="00696EC0" w:rsidRDefault="00696EC0" w:rsidP="004E6A43">
      <w:r>
        <w:tab/>
        <w:t xml:space="preserve">Beginning with a framework that will help define “urbanization,” it is useful to consult the historical analysis of </w:t>
      </w:r>
      <w:r w:rsidR="00F7799B">
        <w:t>i</w:t>
      </w:r>
      <w:r>
        <w:t xml:space="preserve">ndigeneity in urban spaces proposed by Evelyn J. Peters et al. in their discussion of settler colonial dispossession in the prairie context. According to Peters et al., the construction of city spaces has been essential </w:t>
      </w:r>
      <w:r w:rsidR="002E1FD0">
        <w:t>to</w:t>
      </w:r>
      <w:r w:rsidR="00BF1CEC">
        <w:t xml:space="preserve"> aiding</w:t>
      </w:r>
      <w:r>
        <w:t xml:space="preserve"> the settler consciousness internalize stereotypes that differentiate urban and rural contexts, nuanced with</w:t>
      </w:r>
      <w:r w:rsidR="00D46E7D">
        <w:t xml:space="preserve"> common assumptions</w:t>
      </w:r>
      <w:r>
        <w:t xml:space="preserve"> </w:t>
      </w:r>
      <w:r w:rsidR="00D46E7D">
        <w:t xml:space="preserve">that </w:t>
      </w:r>
      <w:r>
        <w:t xml:space="preserve">Indigenous Peoples </w:t>
      </w:r>
      <w:r w:rsidR="00BF1CEC">
        <w:t>form</w:t>
      </w:r>
      <w:r>
        <w:t xml:space="preserve"> part of a distant and natural past.</w:t>
      </w:r>
      <w:r>
        <w:rPr>
          <w:rStyle w:val="Refdenotaalpie"/>
        </w:rPr>
        <w:footnoteReference w:id="18"/>
      </w:r>
      <w:r>
        <w:t xml:space="preserve"> Paramount </w:t>
      </w:r>
      <w:r w:rsidR="00D46E7D">
        <w:t>to</w:t>
      </w:r>
      <w:r>
        <w:t xml:space="preserve"> this ongoing project</w:t>
      </w:r>
      <w:r w:rsidR="00BF1CEC">
        <w:t xml:space="preserve"> of divorcing the currency of </w:t>
      </w:r>
      <w:r w:rsidR="00BA4B17">
        <w:t>i</w:t>
      </w:r>
      <w:r w:rsidR="00BF1CEC">
        <w:t xml:space="preserve">ndigeneity </w:t>
      </w:r>
      <w:r w:rsidR="004924BD">
        <w:t>from</w:t>
      </w:r>
      <w:r w:rsidR="00BF1CEC">
        <w:t xml:space="preserve"> urban spaces</w:t>
      </w:r>
      <w:r>
        <w:t xml:space="preserve">, three different facets that serve this strategy are posited: “containment, </w:t>
      </w:r>
      <w:r w:rsidR="00BF1CEC">
        <w:t>expulsion</w:t>
      </w:r>
      <w:r>
        <w:t>, and erasure.”</w:t>
      </w:r>
      <w:r>
        <w:rPr>
          <w:rStyle w:val="Refdenotaalpie"/>
        </w:rPr>
        <w:footnoteReference w:id="19"/>
      </w:r>
      <w:r w:rsidR="00BF1CEC">
        <w:t xml:space="preserve"> An analysis of the function of public history is helpful in understanding the concept of ‘containment’ in particular. Pertaining to Rossdale Flats </w:t>
      </w:r>
      <w:r w:rsidR="000B3A65">
        <w:t>and the</w:t>
      </w:r>
      <w:r w:rsidR="00BF1CEC">
        <w:t xml:space="preserve"> Fort Edmonton Cemetery/Aboriginal Burial Ground, not too far </w:t>
      </w:r>
      <w:r w:rsidR="000B3A65">
        <w:t>away</w:t>
      </w:r>
      <w:r w:rsidR="00BF1CEC">
        <w:t xml:space="preserve"> exists the downtown core where, among other cultural institutions, the Royal Alberta Museum (RAM) is centrally located. </w:t>
      </w:r>
      <w:r w:rsidR="00426C15">
        <w:t>Since t</w:t>
      </w:r>
      <w:r w:rsidR="00BF1CEC">
        <w:t xml:space="preserve">hemes of </w:t>
      </w:r>
      <w:r w:rsidR="00426C15">
        <w:t xml:space="preserve">urban </w:t>
      </w:r>
      <w:r w:rsidR="00BF1CEC">
        <w:t xml:space="preserve">expulsion and erasure </w:t>
      </w:r>
      <w:r w:rsidR="00426C15">
        <w:t>have already been introduced</w:t>
      </w:r>
      <w:r w:rsidR="00BF1CEC">
        <w:t xml:space="preserve">, it is helpful here to define </w:t>
      </w:r>
      <w:r w:rsidR="00426C15">
        <w:t xml:space="preserve">one facet of the manifestation of </w:t>
      </w:r>
      <w:r w:rsidR="00BF1CEC">
        <w:t>‘containment’ in terms of the colonial museum space. In this instance, the RAM acts as the governing authority for how Indigeneity is narrativized in urban space</w:t>
      </w:r>
      <w:r w:rsidR="00522E8B">
        <w:t>s</w:t>
      </w:r>
      <w:r w:rsidR="00BF1CEC">
        <w:t xml:space="preserve"> to qualify the ongoing dominance of settler understandings of history in the public </w:t>
      </w:r>
      <w:r w:rsidR="002E1FD0">
        <w:t>imagination</w:t>
      </w:r>
      <w:r w:rsidR="00BF1CEC">
        <w:t>.</w:t>
      </w:r>
      <w:r w:rsidR="00BF1CEC">
        <w:rPr>
          <w:rStyle w:val="Refdenotaalpie"/>
        </w:rPr>
        <w:footnoteReference w:id="20"/>
      </w:r>
    </w:p>
    <w:p w14:paraId="63C3BDBB" w14:textId="058563BB" w:rsidR="00BF1CEC" w:rsidRDefault="00BF1CEC" w:rsidP="004E6A43">
      <w:r>
        <w:lastRenderedPageBreak/>
        <w:tab/>
        <w:t xml:space="preserve">The need expressed by </w:t>
      </w:r>
      <w:r w:rsidR="00D46E7D">
        <w:t xml:space="preserve">some </w:t>
      </w:r>
      <w:r>
        <w:t xml:space="preserve">settler historians to </w:t>
      </w:r>
      <w:r w:rsidR="002E1FD0">
        <w:t>perpetuate</w:t>
      </w:r>
      <w:r>
        <w:t xml:space="preserve"> myths that favour ongoing </w:t>
      </w:r>
      <w:r w:rsidR="004A39F0">
        <w:t xml:space="preserve">settler </w:t>
      </w:r>
      <w:r>
        <w:t xml:space="preserve">colonialism was made apparent in </w:t>
      </w:r>
      <w:r w:rsidR="00426C15">
        <w:t xml:space="preserve">a </w:t>
      </w:r>
      <w:r w:rsidR="00377118">
        <w:t xml:space="preserve">blog post </w:t>
      </w:r>
      <w:r w:rsidR="00D46E7D">
        <w:t xml:space="preserve">written </w:t>
      </w:r>
      <w:r w:rsidR="00377118">
        <w:t xml:space="preserve">by </w:t>
      </w:r>
      <w:r w:rsidR="00393488">
        <w:t>the</w:t>
      </w:r>
      <w:r w:rsidR="00377118">
        <w:t xml:space="preserve"> previous historian laureate for the City of Edmonton</w:t>
      </w:r>
      <w:r w:rsidR="00A2342F" w:rsidRPr="00A2342F">
        <w:t xml:space="preserve"> </w:t>
      </w:r>
      <w:r w:rsidR="00A2342F" w:rsidRPr="00A2342F">
        <w:t>Danielle Metcalfe-</w:t>
      </w:r>
      <w:proofErr w:type="spellStart"/>
      <w:r w:rsidR="00A2342F" w:rsidRPr="00A2342F">
        <w:t>Chenail</w:t>
      </w:r>
      <w:proofErr w:type="spellEnd"/>
      <w:r w:rsidR="00377118">
        <w:t xml:space="preserve"> </w:t>
      </w:r>
      <w:r w:rsidR="00AA320B">
        <w:t>in</w:t>
      </w:r>
      <w:r w:rsidR="00377118">
        <w:t xml:space="preserve"> 2015, where when referring to the ongoing </w:t>
      </w:r>
      <w:r w:rsidR="00377118" w:rsidRPr="00D7181E">
        <w:t>gentrification</w:t>
      </w:r>
      <w:r w:rsidR="00377118">
        <w:t xml:space="preserve"> of the Rossdale neighbourhood, a plea was made for “a permanent Indigenous Arts and Culture Centre along with space for a city museum.”</w:t>
      </w:r>
      <w:r w:rsidR="00377118">
        <w:rPr>
          <w:rStyle w:val="Refdenotaalpie"/>
        </w:rPr>
        <w:footnoteReference w:id="21"/>
      </w:r>
      <w:r w:rsidR="00377118">
        <w:t xml:space="preserve"> What this attitude reveals</w:t>
      </w:r>
      <w:r w:rsidR="00027241">
        <w:t xml:space="preserve"> in terms of implicit bias</w:t>
      </w:r>
      <w:r w:rsidR="00377118">
        <w:t xml:space="preserve"> is a tentative willingness for </w:t>
      </w:r>
      <w:r w:rsidR="00D46E7D">
        <w:t xml:space="preserve">increased visibility of </w:t>
      </w:r>
      <w:r w:rsidR="00377118">
        <w:t>Indigenous arts and culture contingent upon the ability</w:t>
      </w:r>
      <w:r w:rsidR="004924BD">
        <w:t xml:space="preserve"> of the city</w:t>
      </w:r>
      <w:r w:rsidR="00377118">
        <w:t xml:space="preserve"> to control the over-arching historical understanding of contemporary </w:t>
      </w:r>
      <w:r w:rsidR="0097657F">
        <w:t xml:space="preserve">Indigenous </w:t>
      </w:r>
      <w:r w:rsidR="00377118">
        <w:t>cultur</w:t>
      </w:r>
      <w:r w:rsidR="00A2342F">
        <w:t>al</w:t>
      </w:r>
      <w:r w:rsidR="00377118">
        <w:t xml:space="preserve"> production</w:t>
      </w:r>
      <w:r w:rsidR="00A2342F">
        <w:t>s</w:t>
      </w:r>
      <w:r w:rsidR="00027241">
        <w:t xml:space="preserve"> in </w:t>
      </w:r>
      <w:r w:rsidR="00026F5C">
        <w:t xml:space="preserve">urban </w:t>
      </w:r>
      <w:r w:rsidR="00027241">
        <w:t>spaces</w:t>
      </w:r>
      <w:r w:rsidR="00377118">
        <w:t xml:space="preserve">. A </w:t>
      </w:r>
      <w:r w:rsidR="00393488">
        <w:t>rebuttal</w:t>
      </w:r>
      <w:r w:rsidR="00377118">
        <w:t xml:space="preserve"> to this </w:t>
      </w:r>
      <w:r w:rsidR="00026F5C">
        <w:t xml:space="preserve">ideology </w:t>
      </w:r>
      <w:r w:rsidR="00377118">
        <w:t xml:space="preserve">is best expressed in the historiographical framework on urban and rural distinctions posited by </w:t>
      </w:r>
      <w:r w:rsidR="00583EE3">
        <w:t xml:space="preserve">Julie </w:t>
      </w:r>
      <w:proofErr w:type="spellStart"/>
      <w:r w:rsidR="00377118" w:rsidRPr="00583EE3">
        <w:t>Tomiak</w:t>
      </w:r>
      <w:proofErr w:type="spellEnd"/>
      <w:r w:rsidR="00377118">
        <w:t xml:space="preserve"> et al. who wr</w:t>
      </w:r>
      <w:r w:rsidR="0097657F">
        <w:t>it</w:t>
      </w:r>
      <w:r w:rsidR="00377118">
        <w:t>e that the “city is not simply an island of settler becoming</w:t>
      </w:r>
      <w:r w:rsidR="00026F5C">
        <w:t xml:space="preserve">;” </w:t>
      </w:r>
      <w:r w:rsidR="0097657F">
        <w:t xml:space="preserve">the </w:t>
      </w:r>
      <w:r w:rsidR="00FD3DA6">
        <w:t xml:space="preserve">urban </w:t>
      </w:r>
      <w:r w:rsidR="0097657F">
        <w:t xml:space="preserve">space frequently used to solidify settler understandings of the land is not as isolated or absolute as it </w:t>
      </w:r>
      <w:r w:rsidR="004924BD">
        <w:t xml:space="preserve">may </w:t>
      </w:r>
      <w:r w:rsidR="00D46E7D">
        <w:t>seem</w:t>
      </w:r>
      <w:r w:rsidR="0097657F">
        <w:t>.</w:t>
      </w:r>
      <w:r w:rsidR="00377118">
        <w:rPr>
          <w:rStyle w:val="Refdenotaalpie"/>
        </w:rPr>
        <w:footnoteReference w:id="22"/>
      </w:r>
      <w:r w:rsidR="00377118">
        <w:t xml:space="preserve"> Central to the argument developed by this collective is the need to abolish the </w:t>
      </w:r>
      <w:r w:rsidR="00FF467C">
        <w:t>“</w:t>
      </w:r>
      <w:r w:rsidR="00377118">
        <w:t>visual imperialism</w:t>
      </w:r>
      <w:r w:rsidR="00FF467C">
        <w:t>”</w:t>
      </w:r>
      <w:r w:rsidR="00377118">
        <w:t xml:space="preserve"> that claims cities as non-Indigenous spaces, when in actuality cities </w:t>
      </w:r>
      <w:r w:rsidR="00FF467C">
        <w:t>are sites of Indigenous resistance</w:t>
      </w:r>
      <w:r w:rsidR="0097657F">
        <w:t xml:space="preserve"> as seen </w:t>
      </w:r>
      <w:r w:rsidR="00FD3DA6">
        <w:t>from</w:t>
      </w:r>
      <w:r w:rsidR="0097657F">
        <w:t xml:space="preserve"> </w:t>
      </w:r>
      <w:r w:rsidR="00FF467C">
        <w:t>the American Indian Movement</w:t>
      </w:r>
      <w:r w:rsidR="00215578">
        <w:t xml:space="preserve"> (AIM)</w:t>
      </w:r>
      <w:r w:rsidR="005C12C1">
        <w:t>,</w:t>
      </w:r>
      <w:r w:rsidR="00FF467C">
        <w:t xml:space="preserve"> Idle No More</w:t>
      </w:r>
      <w:r w:rsidR="005C12C1">
        <w:t>,</w:t>
      </w:r>
      <w:r w:rsidR="00FF467C">
        <w:t xml:space="preserve"> and camp pekiwewin</w:t>
      </w:r>
      <w:r w:rsidR="0097657F">
        <w:t xml:space="preserve"> more recently</w:t>
      </w:r>
      <w:r w:rsidR="00FF467C">
        <w:t>.</w:t>
      </w:r>
      <w:r w:rsidR="00FF467C">
        <w:rPr>
          <w:rStyle w:val="Refdenotaalpie"/>
        </w:rPr>
        <w:footnoteReference w:id="23"/>
      </w:r>
      <w:r w:rsidR="00FF467C">
        <w:t xml:space="preserve"> </w:t>
      </w:r>
      <w:r w:rsidR="00A2342F">
        <w:t xml:space="preserve">Indigenous historian Jennifer </w:t>
      </w:r>
      <w:proofErr w:type="spellStart"/>
      <w:r w:rsidR="00A2342F">
        <w:t>Adese</w:t>
      </w:r>
      <w:proofErr w:type="spellEnd"/>
      <w:r w:rsidR="00A2342F">
        <w:t xml:space="preserve"> demonstrates </w:t>
      </w:r>
      <w:r w:rsidR="00FD3DA6">
        <w:t xml:space="preserve">using </w:t>
      </w:r>
      <w:r w:rsidR="00A2342F">
        <w:t xml:space="preserve">their </w:t>
      </w:r>
      <w:r w:rsidR="00277D41">
        <w:t xml:space="preserve">phrase “visual imperialism” </w:t>
      </w:r>
      <w:r w:rsidR="00B421FD">
        <w:t xml:space="preserve">how gradually under systems of </w:t>
      </w:r>
      <w:r w:rsidR="00B421FD">
        <w:lastRenderedPageBreak/>
        <w:t xml:space="preserve">settler governance, visual displays of </w:t>
      </w:r>
      <w:r w:rsidR="00C8584D">
        <w:t>i</w:t>
      </w:r>
      <w:r w:rsidR="00B421FD">
        <w:t xml:space="preserve">ndigeneity have been confined </w:t>
      </w:r>
      <w:r w:rsidR="00A2342F">
        <w:t>exclusively to</w:t>
      </w:r>
      <w:r w:rsidR="00A4143A">
        <w:t xml:space="preserve"> particular s</w:t>
      </w:r>
      <w:r w:rsidR="00FD3DA6">
        <w:t>ites</w:t>
      </w:r>
      <w:r w:rsidR="00A4143A">
        <w:t xml:space="preserve"> such as museums.</w:t>
      </w:r>
      <w:r w:rsidR="00A4143A">
        <w:rPr>
          <w:rStyle w:val="Refdenotaalpie"/>
        </w:rPr>
        <w:footnoteReference w:id="24"/>
      </w:r>
    </w:p>
    <w:p w14:paraId="53E72605" w14:textId="2B6A0059" w:rsidR="00D46E7D" w:rsidRDefault="00D46E7D" w:rsidP="004E6A43">
      <w:r>
        <w:tab/>
        <w:t xml:space="preserve">The (un)willingness of civic agencies to acknowledge the “locus of Indigenous resistance” that takes place in cities like Edmonton, following </w:t>
      </w:r>
      <w:r w:rsidR="00C27E79">
        <w:t>an</w:t>
      </w:r>
      <w:r>
        <w:t xml:space="preserve"> </w:t>
      </w:r>
      <w:r w:rsidR="00C27E79">
        <w:t xml:space="preserve">analysis of public history production by Indigenous historian </w:t>
      </w:r>
      <w:r>
        <w:t xml:space="preserve">Dwayne Donald, speaks to a </w:t>
      </w:r>
      <w:r w:rsidR="00C27E79">
        <w:t xml:space="preserve">colonial </w:t>
      </w:r>
      <w:r w:rsidR="00FD3DA6">
        <w:t>legacy</w:t>
      </w:r>
      <w:r>
        <w:t xml:space="preserve"> of </w:t>
      </w:r>
      <w:r w:rsidR="00C27E79">
        <w:t>knowledge dissemination that hierarchizes cultural centres of Euro-Canadian production.</w:t>
      </w:r>
      <w:r w:rsidR="00C27E79">
        <w:rPr>
          <w:rStyle w:val="Refdenotaalpie"/>
        </w:rPr>
        <w:footnoteReference w:id="25"/>
      </w:r>
      <w:r w:rsidR="004E6667">
        <w:t xml:space="preserve"> For Donald, the production of historical memory in spaces of settler colonialism is informed by the same markers that determine an individuals experience under colonialism: “race, language, culture, and gender” whereby the intersections of oppression </w:t>
      </w:r>
      <w:r w:rsidR="00F55DA7">
        <w:t>also determine</w:t>
      </w:r>
      <w:r w:rsidR="004E6667">
        <w:t xml:space="preserve"> </w:t>
      </w:r>
      <w:r w:rsidR="00F55DA7">
        <w:t>a groups exclusion from</w:t>
      </w:r>
      <w:r w:rsidR="004E6667">
        <w:t xml:space="preserve"> </w:t>
      </w:r>
      <w:r w:rsidR="00F55DA7">
        <w:t xml:space="preserve">the written </w:t>
      </w:r>
      <w:r w:rsidR="004E6667">
        <w:t>history of spaces.</w:t>
      </w:r>
      <w:r w:rsidR="004E6667">
        <w:rPr>
          <w:rStyle w:val="Refdenotaalpie"/>
        </w:rPr>
        <w:footnoteReference w:id="26"/>
      </w:r>
      <w:r w:rsidR="004E6667">
        <w:t xml:space="preserve"> By adhering to pioneering settler narratives that dominate the landscape of historical consciousness in the prairies, Donald posits the goals of the </w:t>
      </w:r>
      <w:r w:rsidR="00FD3DA6">
        <w:t>nation are</w:t>
      </w:r>
      <w:r w:rsidR="004E6667">
        <w:t xml:space="preserve"> realized </w:t>
      </w:r>
      <w:r w:rsidR="00FD3DA6">
        <w:t xml:space="preserve">via the </w:t>
      </w:r>
      <w:r w:rsidR="004E6667">
        <w:t xml:space="preserve">“frontier capitalism” </w:t>
      </w:r>
      <w:r w:rsidR="00692630">
        <w:t xml:space="preserve">myth </w:t>
      </w:r>
      <w:r w:rsidR="004E6667">
        <w:t xml:space="preserve">which </w:t>
      </w:r>
      <w:r w:rsidR="00FD3DA6">
        <w:t>forms</w:t>
      </w:r>
      <w:r w:rsidR="004E6667">
        <w:t xml:space="preserve"> part of a</w:t>
      </w:r>
      <w:r w:rsidR="00F55DA7">
        <w:t>n</w:t>
      </w:r>
      <w:r w:rsidR="004E6667">
        <w:t xml:space="preserve"> </w:t>
      </w:r>
      <w:r w:rsidR="004456A6">
        <w:t>a</w:t>
      </w:r>
      <w:r w:rsidR="004E6667">
        <w:t>historical consciousness that justifies ongoing extractive economies</w:t>
      </w:r>
      <w:r w:rsidR="00F55DA7">
        <w:t xml:space="preserve"> to the detriment of </w:t>
      </w:r>
      <w:r w:rsidR="00FD3DA6">
        <w:t>those</w:t>
      </w:r>
      <w:r w:rsidR="00F55DA7">
        <w:t xml:space="preserve"> </w:t>
      </w:r>
      <w:r w:rsidR="00692630">
        <w:t>excluded</w:t>
      </w:r>
      <w:r w:rsidR="00F55DA7">
        <w:t xml:space="preserve"> from these spaces</w:t>
      </w:r>
      <w:r w:rsidR="004E6667">
        <w:t>.</w:t>
      </w:r>
      <w:r w:rsidR="004E6667">
        <w:rPr>
          <w:rStyle w:val="Refdenotaalpie"/>
        </w:rPr>
        <w:footnoteReference w:id="27"/>
      </w:r>
    </w:p>
    <w:p w14:paraId="09A2222E" w14:textId="3F96438E" w:rsidR="004E6667" w:rsidRDefault="004E6667" w:rsidP="004E6A43">
      <w:r>
        <w:tab/>
        <w:t>Additional myths that also feed into the ongoing dispossession of Indigenous Peoples from their territor</w:t>
      </w:r>
      <w:r w:rsidR="00FD3DA6">
        <w:t>ies</w:t>
      </w:r>
      <w:r>
        <w:t xml:space="preserve"> </w:t>
      </w:r>
      <w:r w:rsidR="00A62DBB">
        <w:t>under settler colonialism have been explored by the historian William Cronon. Cronon establishes</w:t>
      </w:r>
      <w:r w:rsidR="006C0374">
        <w:t xml:space="preserve"> that</w:t>
      </w:r>
      <w:r w:rsidR="00A62DBB">
        <w:t xml:space="preserve"> the myth of </w:t>
      </w:r>
      <w:r w:rsidR="00A62DBB">
        <w:rPr>
          <w:i/>
          <w:iCs/>
        </w:rPr>
        <w:t>terra nullius</w:t>
      </w:r>
      <w:r w:rsidR="00A62DBB">
        <w:t xml:space="preserve">, or empty earth, </w:t>
      </w:r>
      <w:r w:rsidR="006C0374">
        <w:t>i</w:t>
      </w:r>
      <w:r w:rsidR="00A62DBB">
        <w:t>s central to the ability</w:t>
      </w:r>
      <w:r w:rsidR="006C0374">
        <w:t xml:space="preserve"> of the settler state</w:t>
      </w:r>
      <w:r w:rsidR="00A62DBB">
        <w:t xml:space="preserve"> to justify its presence and dominance of space</w:t>
      </w:r>
      <w:r w:rsidR="00A2342F">
        <w:t>.</w:t>
      </w:r>
      <w:r w:rsidR="00A2342F">
        <w:rPr>
          <w:rStyle w:val="Refdenotaalpie"/>
        </w:rPr>
        <w:footnoteReference w:id="28"/>
      </w:r>
      <w:r w:rsidR="00A2342F">
        <w:t xml:space="preserve"> O</w:t>
      </w:r>
      <w:r w:rsidR="00A62DBB">
        <w:t>f course, if this myth of unfettered wilderness were expos</w:t>
      </w:r>
      <w:r w:rsidR="00A2342F">
        <w:t>ed</w:t>
      </w:r>
      <w:r w:rsidR="00A62DBB">
        <w:t xml:space="preserve">, it would become </w:t>
      </w:r>
      <w:r w:rsidR="006F696B">
        <w:t>impossible</w:t>
      </w:r>
      <w:r w:rsidR="00A62DBB">
        <w:t xml:space="preserve"> for </w:t>
      </w:r>
      <w:r w:rsidR="00A62DBB">
        <w:lastRenderedPageBreak/>
        <w:t>the state to justify its absolute authority</w:t>
      </w:r>
      <w:r w:rsidR="006F696B">
        <w:t xml:space="preserve"> over land use</w:t>
      </w:r>
      <w:r w:rsidR="00A62DBB">
        <w:t>. A</w:t>
      </w:r>
      <w:r w:rsidR="00393488">
        <w:t xml:space="preserve">n </w:t>
      </w:r>
      <w:r w:rsidR="00A62DBB">
        <w:t xml:space="preserve">historical land use study prepared for the City of Edmonton in 2004 on behalf of </w:t>
      </w:r>
      <w:r w:rsidR="00A62DBB" w:rsidRPr="00583EE3">
        <w:t>Commonwealth Historic</w:t>
      </w:r>
      <w:r w:rsidR="00583EE3" w:rsidRPr="00583EE3">
        <w:t xml:space="preserve"> Resource</w:t>
      </w:r>
      <w:r w:rsidR="00A62DBB" w:rsidRPr="00583EE3">
        <w:t xml:space="preserve"> Management Ltd</w:t>
      </w:r>
      <w:r w:rsidR="00A62DBB">
        <w:t xml:space="preserve">. </w:t>
      </w:r>
      <w:r w:rsidR="00393488">
        <w:t>c</w:t>
      </w:r>
      <w:r w:rsidR="00A62DBB">
        <w:t>ombine</w:t>
      </w:r>
      <w:r w:rsidR="000011D1">
        <w:t>s</w:t>
      </w:r>
      <w:r w:rsidR="00A62DBB">
        <w:t xml:space="preserve"> the praxis of heritage resource planners, historians, archeologists, and geophysicists</w:t>
      </w:r>
      <w:r w:rsidR="00FD3DA6">
        <w:t>. The study</w:t>
      </w:r>
      <w:r w:rsidR="00F55DA7">
        <w:t xml:space="preserve"> made</w:t>
      </w:r>
      <w:r w:rsidR="00A62DBB">
        <w:t xml:space="preserve"> similar conclusions </w:t>
      </w:r>
      <w:r w:rsidR="00393488">
        <w:t>about</w:t>
      </w:r>
      <w:r w:rsidR="00A62DBB">
        <w:t xml:space="preserve"> the fallacy of </w:t>
      </w:r>
      <w:r w:rsidR="00A62DBB">
        <w:rPr>
          <w:i/>
          <w:iCs/>
        </w:rPr>
        <w:t>terra nullius</w:t>
      </w:r>
      <w:r w:rsidR="00A62DBB">
        <w:t xml:space="preserve"> mythology when applied to the space historically occupied by the ever-shifting Fort Edmonton, which was </w:t>
      </w:r>
      <w:r w:rsidR="00F55DA7">
        <w:t>never</w:t>
      </w:r>
      <w:r w:rsidR="00A62DBB">
        <w:t xml:space="preserve"> best described as “wilderness” at any point in time that settlers </w:t>
      </w:r>
      <w:proofErr w:type="gramStart"/>
      <w:r w:rsidR="00A62DBB">
        <w:t>came into contact with</w:t>
      </w:r>
      <w:proofErr w:type="gramEnd"/>
      <w:r w:rsidR="00A62DBB">
        <w:t xml:space="preserve"> the region.</w:t>
      </w:r>
      <w:r w:rsidR="00A62DBB">
        <w:rPr>
          <w:rStyle w:val="Refdenotaalpie"/>
        </w:rPr>
        <w:footnoteReference w:id="29"/>
      </w:r>
      <w:r w:rsidR="007C4A5C">
        <w:t xml:space="preserve"> </w:t>
      </w:r>
      <w:r w:rsidR="00F55DA7">
        <w:t xml:space="preserve">The pattern of erasing the histories of Indigenous Peoples’ land use prior to contact explains this discrepancy. </w:t>
      </w:r>
      <w:r w:rsidR="007C4A5C">
        <w:t xml:space="preserve">Another myth also identified by Cronon that fills in the gaps </w:t>
      </w:r>
      <w:r w:rsidR="00F55DA7">
        <w:t>of the</w:t>
      </w:r>
      <w:r w:rsidR="007C4A5C">
        <w:t xml:space="preserve"> </w:t>
      </w:r>
      <w:r w:rsidR="007C4A5C">
        <w:rPr>
          <w:i/>
          <w:iCs/>
        </w:rPr>
        <w:t>terra nullius</w:t>
      </w:r>
      <w:r w:rsidR="007C4A5C">
        <w:t xml:space="preserve"> </w:t>
      </w:r>
      <w:r w:rsidR="00F55DA7">
        <w:t xml:space="preserve">myth </w:t>
      </w:r>
      <w:r w:rsidR="007C4A5C">
        <w:t xml:space="preserve">is that of the ‘vanishing race’ </w:t>
      </w:r>
      <w:r w:rsidR="00F55DA7">
        <w:t>which</w:t>
      </w:r>
      <w:r w:rsidR="007C4A5C">
        <w:t xml:space="preserve"> posits that </w:t>
      </w:r>
      <w:r w:rsidR="00A12848">
        <w:t>i</w:t>
      </w:r>
      <w:r w:rsidR="007C4A5C">
        <w:t xml:space="preserve">ndigeneity is disappearing, and that when </w:t>
      </w:r>
      <w:r w:rsidR="00A12848">
        <w:t>i</w:t>
      </w:r>
      <w:r w:rsidR="007C4A5C">
        <w:t xml:space="preserve">ndigeneity is encountered, it is ‘on the way out’ as opposed to </w:t>
      </w:r>
      <w:r w:rsidR="00F55DA7">
        <w:t>a signifier of</w:t>
      </w:r>
      <w:r w:rsidR="007C4A5C">
        <w:t xml:space="preserve"> Indigenous participation.</w:t>
      </w:r>
      <w:r w:rsidR="007C4A5C">
        <w:rPr>
          <w:rStyle w:val="Refdenotaalpie"/>
        </w:rPr>
        <w:footnoteReference w:id="30"/>
      </w:r>
      <w:r w:rsidR="007C4A5C">
        <w:t xml:space="preserve"> These myths are not based in truth</w:t>
      </w:r>
      <w:r w:rsidR="00A2342F">
        <w:t>. T</w:t>
      </w:r>
      <w:r w:rsidR="007C4A5C">
        <w:t>heir prevalence in historical discourse and settler storytelling “[distorts] the actual lives and histories of peoples who remain fully present… despite the failure of historical narratives to notice their ongoing presence.”</w:t>
      </w:r>
      <w:r w:rsidR="007C4A5C">
        <w:rPr>
          <w:rStyle w:val="Refdenotaalpie"/>
        </w:rPr>
        <w:footnoteReference w:id="31"/>
      </w:r>
      <w:r w:rsidR="007C4A5C">
        <w:t xml:space="preserve"> The effects are seen </w:t>
      </w:r>
      <w:r w:rsidR="00393488">
        <w:t>in communities of</w:t>
      </w:r>
      <w:r w:rsidR="007C4A5C">
        <w:t xml:space="preserve"> Indigenous Peoples that are homeless and who nuance these historical myths as one reason behind their inability to feel connected with their traditional lands.</w:t>
      </w:r>
      <w:r w:rsidR="007C4A5C">
        <w:rPr>
          <w:rStyle w:val="Refdenotaalpie"/>
        </w:rPr>
        <w:footnoteReference w:id="32"/>
      </w:r>
      <w:r w:rsidR="007C4A5C">
        <w:t xml:space="preserve"> </w:t>
      </w:r>
      <w:r w:rsidR="00F55DA7">
        <w:t>Historical r</w:t>
      </w:r>
      <w:r w:rsidR="007C4A5C">
        <w:t>epresentation matters. The mentioned myths have been successful in their ongoing</w:t>
      </w:r>
      <w:r w:rsidR="00F55DA7">
        <w:t xml:space="preserve"> role in the</w:t>
      </w:r>
      <w:r w:rsidR="007C4A5C">
        <w:t xml:space="preserve"> establishment of </w:t>
      </w:r>
      <w:r w:rsidR="0050553D">
        <w:t>the Canadian settler consciousness to the point that they are able to perpetuate themselves systematicall</w:t>
      </w:r>
      <w:r w:rsidR="00467270">
        <w:t>y</w:t>
      </w:r>
      <w:r w:rsidR="00A2342F">
        <w:t>.</w:t>
      </w:r>
      <w:r w:rsidR="0050553D">
        <w:t xml:space="preserve"> </w:t>
      </w:r>
      <w:r w:rsidR="00A2342F">
        <w:t>There</w:t>
      </w:r>
      <w:r w:rsidR="0050553D">
        <w:t xml:space="preserve"> </w:t>
      </w:r>
      <w:r w:rsidR="00A2342F">
        <w:t>are</w:t>
      </w:r>
      <w:r w:rsidR="0050553D">
        <w:t xml:space="preserve"> a series of </w:t>
      </w:r>
      <w:r w:rsidR="00393488">
        <w:t>inter-</w:t>
      </w:r>
      <w:r w:rsidR="00393488">
        <w:lastRenderedPageBreak/>
        <w:t>connect</w:t>
      </w:r>
      <w:r w:rsidR="00F55DA7">
        <w:t>ed</w:t>
      </w:r>
      <w:r w:rsidR="00393488">
        <w:t xml:space="preserve"> </w:t>
      </w:r>
      <w:r w:rsidR="0050553D">
        <w:t>relationships stemming from the dispossession of lands, one-sided historical narratives, and contemporary cycles of homelessness.</w:t>
      </w:r>
      <w:r w:rsidR="0050553D">
        <w:rPr>
          <w:rStyle w:val="Refdenotaalpie"/>
        </w:rPr>
        <w:footnoteReference w:id="33"/>
      </w:r>
    </w:p>
    <w:p w14:paraId="39031D33" w14:textId="08E8B51C" w:rsidR="00557A7C" w:rsidRDefault="00557A7C" w:rsidP="004E6A43">
      <w:r>
        <w:tab/>
        <w:t xml:space="preserve">Some of the more tangible historical realities about how Indigenous Peoples in Canada disproportionately fall into structural cycles of homelessness are further explored by </w:t>
      </w:r>
      <w:proofErr w:type="spellStart"/>
      <w:r>
        <w:t>Niitsitapi</w:t>
      </w:r>
      <w:proofErr w:type="spellEnd"/>
      <w:r>
        <w:t xml:space="preserve"> (Blackfoot) historian Gabrielle Lindstrom </w:t>
      </w:r>
      <w:r w:rsidR="00A2342F">
        <w:t>and</w:t>
      </w:r>
      <w:r>
        <w:t xml:space="preserve"> Yale D. Belanger in an effort to make a </w:t>
      </w:r>
      <w:r w:rsidR="00FD3DA6">
        <w:t>distinction</w:t>
      </w:r>
      <w:r>
        <w:t xml:space="preserve"> between Indigenous homelessness in contrast to Indigenous mobility.</w:t>
      </w:r>
      <w:r>
        <w:rPr>
          <w:rStyle w:val="Refdenotaalpie"/>
        </w:rPr>
        <w:footnoteReference w:id="34"/>
      </w:r>
      <w:r>
        <w:t xml:space="preserve"> The identified factors of contemporary Indigenous homelessness are intricately tied to the historical actions of the state, </w:t>
      </w:r>
      <w:r w:rsidR="00F55DA7">
        <w:t>which include</w:t>
      </w:r>
      <w:r>
        <w:t xml:space="preserve"> the </w:t>
      </w:r>
      <w:r w:rsidRPr="00A2342F">
        <w:rPr>
          <w:i/>
          <w:iCs/>
        </w:rPr>
        <w:t>Indian Act</w:t>
      </w:r>
      <w:r w:rsidR="00F55DA7">
        <w:t xml:space="preserve"> </w:t>
      </w:r>
      <w:r>
        <w:t xml:space="preserve">as well as family </w:t>
      </w:r>
      <w:r w:rsidR="00E20032">
        <w:t>dissolution</w:t>
      </w:r>
      <w:r>
        <w:t xml:space="preserve"> </w:t>
      </w:r>
      <w:r w:rsidR="00FD3DA6">
        <w:t xml:space="preserve">and genocidal </w:t>
      </w:r>
      <w:r>
        <w:t xml:space="preserve">initiatives like residential schools, the Sixties Scoop, and the </w:t>
      </w:r>
      <w:r w:rsidR="00E20032">
        <w:t>Child Welfare system.</w:t>
      </w:r>
      <w:r w:rsidR="00E20032">
        <w:rPr>
          <w:rStyle w:val="Refdenotaalpie"/>
        </w:rPr>
        <w:footnoteReference w:id="35"/>
      </w:r>
      <w:r w:rsidR="00E20032">
        <w:t xml:space="preserve"> The M</w:t>
      </w:r>
      <w:r w:rsidR="00E20032" w:rsidRPr="00E20032">
        <w:t>étis scholar</w:t>
      </w:r>
      <w:r w:rsidR="00A2342F">
        <w:t xml:space="preserve"> Jesse Thistle positions</w:t>
      </w:r>
      <w:r w:rsidR="00E20032" w:rsidRPr="00E20032">
        <w:t xml:space="preserve"> Indigenous homelessness </w:t>
      </w:r>
      <w:r w:rsidR="004F6EEE">
        <w:t>and its</w:t>
      </w:r>
      <w:r w:rsidR="00E20032">
        <w:t xml:space="preserve"> historical trends into </w:t>
      </w:r>
      <w:r w:rsidR="000D73F8">
        <w:t>systems</w:t>
      </w:r>
      <w:r w:rsidR="00E20032">
        <w:t xml:space="preserve"> of ongoing genocide perpetuated by the state as a destabilization tactic against Indigenous livelihoods.</w:t>
      </w:r>
      <w:r w:rsidR="00E20032">
        <w:rPr>
          <w:rStyle w:val="Refdenotaalpie"/>
        </w:rPr>
        <w:footnoteReference w:id="36"/>
      </w:r>
      <w:r w:rsidR="00E20032">
        <w:t xml:space="preserve"> According to Thistle, who incorporates the </w:t>
      </w:r>
      <w:r w:rsidR="00F55DA7">
        <w:t>idea of</w:t>
      </w:r>
      <w:r w:rsidR="00E20032">
        <w:t xml:space="preserve"> “rootlessness” by the scholar Julie Christensen to describe the ways in which Indigenous Peoples can be disconnected from their cultur</w:t>
      </w:r>
      <w:r w:rsidR="00F55DA7">
        <w:t>al</w:t>
      </w:r>
      <w:r w:rsidR="00E20032">
        <w:t xml:space="preserve"> and kinship connections</w:t>
      </w:r>
      <w:r w:rsidR="00393488">
        <w:t xml:space="preserve"> </w:t>
      </w:r>
      <w:r w:rsidR="0080773D">
        <w:t>to reproduce</w:t>
      </w:r>
      <w:r w:rsidR="00393488">
        <w:t xml:space="preserve"> cycles of homelessness</w:t>
      </w:r>
      <w:r w:rsidR="00E20032">
        <w:t>, “it took the increasing numbers of vulnerable settler women, children and veterans on Canadian city streets to shed light on the largely unexamined and out-of-control issue of Indigenous homelessness.”</w:t>
      </w:r>
      <w:r w:rsidR="00E20032">
        <w:rPr>
          <w:rStyle w:val="Refdenotaalpie"/>
        </w:rPr>
        <w:footnoteReference w:id="37"/>
      </w:r>
    </w:p>
    <w:p w14:paraId="4B18B8C2" w14:textId="6D59C7BE" w:rsidR="00E20032" w:rsidRDefault="00E20032" w:rsidP="004E6A43">
      <w:r>
        <w:tab/>
        <w:t>Something that needs to be addressed is the reality that it is not exclusively Indigenous Peoples that are homeless</w:t>
      </w:r>
      <w:r w:rsidR="004F6EEE">
        <w:t xml:space="preserve">. </w:t>
      </w:r>
      <w:r>
        <w:t xml:space="preserve">Thistle raises this point by citing that “scholars have argued that capitalist states like Canada produce negative spaces – ‘the streets’ – to </w:t>
      </w:r>
      <w:r>
        <w:lastRenderedPageBreak/>
        <w:t>warehouse their oppressed, poor and underprivileged”</w:t>
      </w:r>
      <w:r w:rsidR="004F6EEE">
        <w:t xml:space="preserve"> making clear that</w:t>
      </w:r>
      <w:r>
        <w:t>, due to the ongoing actions of the colonial state that ha</w:t>
      </w:r>
      <w:r w:rsidR="00F55DA7">
        <w:t xml:space="preserve">s </w:t>
      </w:r>
      <w:r>
        <w:t xml:space="preserve">endeavoured to disappear Indigenous Peoples, disproportionality these communities struggle with </w:t>
      </w:r>
      <w:r w:rsidR="00DE74C6">
        <w:t xml:space="preserve">the negative </w:t>
      </w:r>
      <w:r w:rsidR="004F6EEE">
        <w:t>effects stemming from</w:t>
      </w:r>
      <w:r w:rsidR="00DE74C6">
        <w:t xml:space="preserve"> cycles of homelessness.</w:t>
      </w:r>
      <w:r w:rsidR="00DE74C6">
        <w:rPr>
          <w:rStyle w:val="Refdenotaalpie"/>
        </w:rPr>
        <w:footnoteReference w:id="38"/>
      </w:r>
      <w:r w:rsidR="00DE74C6">
        <w:t xml:space="preserve"> One facet of these negative outcomes is the criminalization of basic survival activities for people that are homeless.</w:t>
      </w:r>
      <w:r w:rsidR="00DE74C6">
        <w:rPr>
          <w:rStyle w:val="Refdenotaalpie"/>
        </w:rPr>
        <w:footnoteReference w:id="39"/>
      </w:r>
      <w:r w:rsidR="00814B21">
        <w:t xml:space="preserve"> Homeward Trust</w:t>
      </w:r>
      <w:r w:rsidR="004F6EEE">
        <w:t>,</w:t>
      </w:r>
      <w:r w:rsidR="00814B21">
        <w:t xml:space="preserve"> in collaboration with Blue Quills First Nations College and IRM Research, </w:t>
      </w:r>
      <w:r w:rsidR="004F6EEE">
        <w:t>researched</w:t>
      </w:r>
      <w:r w:rsidR="00814B21">
        <w:t xml:space="preserve"> Indigenous homelessness within the City of Edmonton</w:t>
      </w:r>
      <w:r w:rsidR="004F6EEE">
        <w:t xml:space="preserve"> </w:t>
      </w:r>
      <w:r w:rsidR="00814B21">
        <w:t>in 2015</w:t>
      </w:r>
      <w:r w:rsidR="004F6EEE">
        <w:t>. The research demonstrates</w:t>
      </w:r>
      <w:r w:rsidR="00814B21">
        <w:t xml:space="preserve"> that the </w:t>
      </w:r>
      <w:r w:rsidR="004F6EEE">
        <w:t xml:space="preserve">most common </w:t>
      </w:r>
      <w:r w:rsidR="00FD3DA6">
        <w:t xml:space="preserve">interactions </w:t>
      </w:r>
      <w:r w:rsidR="00814B21">
        <w:t xml:space="preserve">people experiencing homelessness </w:t>
      </w:r>
      <w:r w:rsidR="004F6EEE">
        <w:t>have with government agencies are with law enforcement</w:t>
      </w:r>
      <w:r w:rsidR="00814B21">
        <w:t xml:space="preserve">, </w:t>
      </w:r>
      <w:r w:rsidR="00FD3DA6">
        <w:t xml:space="preserve">such as </w:t>
      </w:r>
      <w:r w:rsidR="00814B21">
        <w:t>police.</w:t>
      </w:r>
      <w:r w:rsidR="00814B21">
        <w:rPr>
          <w:rStyle w:val="Refdenotaalpie"/>
        </w:rPr>
        <w:footnoteReference w:id="40"/>
      </w:r>
      <w:r w:rsidR="00814B21">
        <w:t xml:space="preserve"> The report goes on to establish that the criminalization and subsequent rough treatment of individuals that are homeless, and particularly those that are Indigenous, stems partially from the poor understanding </w:t>
      </w:r>
      <w:r w:rsidR="004F6EEE">
        <w:t>of settler society</w:t>
      </w:r>
      <w:r w:rsidR="00814B21">
        <w:t xml:space="preserve"> regarding Canadian history</w:t>
      </w:r>
      <w:r w:rsidR="00253E6F">
        <w:t xml:space="preserve"> versus mythology</w:t>
      </w:r>
      <w:r w:rsidR="00814B21">
        <w:t>.</w:t>
      </w:r>
      <w:r w:rsidR="00814B21">
        <w:rPr>
          <w:rStyle w:val="Refdenotaalpie"/>
        </w:rPr>
        <w:footnoteReference w:id="41"/>
      </w:r>
      <w:r w:rsidR="00814B21">
        <w:t xml:space="preserve"> Because there is a lack of understanding </w:t>
      </w:r>
      <w:r w:rsidR="00393488">
        <w:t>about</w:t>
      </w:r>
      <w:r w:rsidR="00814B21">
        <w:t xml:space="preserve"> the structures that </w:t>
      </w:r>
      <w:r w:rsidR="00FD3DA6">
        <w:t>re</w:t>
      </w:r>
      <w:r w:rsidR="00814B21">
        <w:t>produce cycles of Indigenous homelessness, there is an “illusion of self-control</w:t>
      </w:r>
      <w:r w:rsidR="00393488">
        <w:t>”</w:t>
      </w:r>
      <w:r w:rsidR="009E561D">
        <w:t xml:space="preserve"> where </w:t>
      </w:r>
      <w:r w:rsidR="00C768F5">
        <w:t>pervasive ideas about individual failings and poor character</w:t>
      </w:r>
      <w:r w:rsidR="00393488">
        <w:t xml:space="preserve"> </w:t>
      </w:r>
      <w:r w:rsidR="00C768F5">
        <w:t>obscure the realities of ongoing colonialism that operate</w:t>
      </w:r>
      <w:r w:rsidR="009E561D">
        <w:t xml:space="preserve"> </w:t>
      </w:r>
      <w:r w:rsidR="00C768F5">
        <w:t>at peak efficiency under neoliberalism.</w:t>
      </w:r>
      <w:r w:rsidR="00C768F5">
        <w:rPr>
          <w:rStyle w:val="Refdenotaalpie"/>
        </w:rPr>
        <w:footnoteReference w:id="42"/>
      </w:r>
      <w:r w:rsidR="00C768F5">
        <w:t xml:space="preserve"> </w:t>
      </w:r>
    </w:p>
    <w:p w14:paraId="45E4F5C7" w14:textId="1B5AF407" w:rsidR="00C768F5" w:rsidRPr="00E20032" w:rsidRDefault="00C768F5" w:rsidP="004E6A43">
      <w:r>
        <w:tab/>
        <w:t>To analogize this theoretical framework, the social theorist Robert Rosenberger</w:t>
      </w:r>
      <w:r w:rsidR="004F6EEE">
        <w:t xml:space="preserve"> </w:t>
      </w:r>
      <w:r>
        <w:t>writ</w:t>
      </w:r>
      <w:r w:rsidR="004F6EEE">
        <w:t xml:space="preserve">es </w:t>
      </w:r>
      <w:r>
        <w:t xml:space="preserve">on the politicization of space as a technology that forces people </w:t>
      </w:r>
      <w:r w:rsidR="009E561D">
        <w:t xml:space="preserve">that are homeless </w:t>
      </w:r>
      <w:r>
        <w:t>out of public space and</w:t>
      </w:r>
      <w:r w:rsidR="009E561D">
        <w:t xml:space="preserve"> </w:t>
      </w:r>
      <w:r>
        <w:t>consciousness, p</w:t>
      </w:r>
      <w:r w:rsidR="004F6EEE">
        <w:t>ositing</w:t>
      </w:r>
      <w:r>
        <w:t xml:space="preserve"> that “it is not just one uncomfortable bench, but a larger effort to set forth systematically in policy, and </w:t>
      </w:r>
      <w:r w:rsidR="009E561D">
        <w:t>[</w:t>
      </w:r>
      <w:r>
        <w:t>incorporate</w:t>
      </w:r>
      <w:r w:rsidR="009E561D">
        <w:t>]</w:t>
      </w:r>
      <w:r>
        <w:t xml:space="preserve"> into design, to coerce </w:t>
      </w:r>
      <w:r w:rsidR="008C4371">
        <w:lastRenderedPageBreak/>
        <w:t xml:space="preserve">[sic] </w:t>
      </w:r>
      <w:r>
        <w:t>the unhoused out of public space.”</w:t>
      </w:r>
      <w:r>
        <w:rPr>
          <w:rStyle w:val="Refdenotaalpie"/>
        </w:rPr>
        <w:footnoteReference w:id="43"/>
      </w:r>
      <w:r>
        <w:t xml:space="preserve"> This analogy </w:t>
      </w:r>
      <w:r w:rsidR="00095429">
        <w:t>can be used to contextualize</w:t>
      </w:r>
      <w:r>
        <w:t xml:space="preserve"> </w:t>
      </w:r>
      <w:r w:rsidR="00095429">
        <w:t>the</w:t>
      </w:r>
      <w:r>
        <w:t xml:space="preserve"> imagined individual </w:t>
      </w:r>
      <w:r w:rsidR="009E561D">
        <w:t>failings</w:t>
      </w:r>
      <w:r>
        <w:t xml:space="preserve"> that obscure structural patterns</w:t>
      </w:r>
      <w:r w:rsidR="00095429">
        <w:t xml:space="preserve"> of homelessness</w:t>
      </w:r>
      <w:r>
        <w:t>, as well</w:t>
      </w:r>
      <w:r w:rsidR="009E561D">
        <w:t xml:space="preserve"> as</w:t>
      </w:r>
      <w:r>
        <w:t xml:space="preserve"> broader understandings of the function </w:t>
      </w:r>
      <w:r w:rsidR="009E561D">
        <w:t xml:space="preserve">of </w:t>
      </w:r>
      <w:r>
        <w:t xml:space="preserve">discomfort </w:t>
      </w:r>
      <w:r w:rsidR="009E561D">
        <w:t>and</w:t>
      </w:r>
      <w:r>
        <w:t xml:space="preserve"> criminaliz</w:t>
      </w:r>
      <w:r w:rsidR="009E561D">
        <w:t xml:space="preserve">ation </w:t>
      </w:r>
      <w:r w:rsidR="00095429">
        <w:t>as</w:t>
      </w:r>
      <w:r>
        <w:t xml:space="preserve"> part of an individuals routine if they are homeless. Bylaws that </w:t>
      </w:r>
      <w:r w:rsidR="004F6EEE">
        <w:t>legislate</w:t>
      </w:r>
      <w:r>
        <w:t xml:space="preserve"> sleeping in tents in public par</w:t>
      </w:r>
      <w:r w:rsidR="008C4371">
        <w:t>k</w:t>
      </w:r>
      <w:r>
        <w:t>s, public urination, and public intoxication can be understood directly as methodologies of the colonial state to criminalize the activities of people that are homeless.</w:t>
      </w:r>
      <w:r>
        <w:rPr>
          <w:rStyle w:val="Refdenotaalpie"/>
        </w:rPr>
        <w:footnoteReference w:id="44"/>
      </w:r>
      <w:r>
        <w:t xml:space="preserve"> Since settler biases codify the behaviours of people that are homeless as criminal, this carceral racism mixed with the ‘social dislocation’ of Indigenous kinship networks </w:t>
      </w:r>
      <w:r w:rsidR="00EE7C50">
        <w:t>due to the assimilative impulses</w:t>
      </w:r>
      <w:r w:rsidR="00095429">
        <w:t xml:space="preserve"> of the state</w:t>
      </w:r>
      <w:r w:rsidR="004F6EEE">
        <w:t>,</w:t>
      </w:r>
      <w:r w:rsidR="00EE7C50">
        <w:t xml:space="preserve"> feeds into </w:t>
      </w:r>
      <w:r w:rsidR="004F6EEE">
        <w:t xml:space="preserve">the </w:t>
      </w:r>
      <w:r w:rsidR="00EE7C50">
        <w:t>structural issue of Indigenous over-incarceration</w:t>
      </w:r>
      <w:r w:rsidR="004F6EEE">
        <w:t>.</w:t>
      </w:r>
      <w:r w:rsidR="00EE7C50">
        <w:t xml:space="preserve"> </w:t>
      </w:r>
      <w:r w:rsidR="004F6EEE">
        <w:t>T</w:t>
      </w:r>
      <w:r w:rsidR="00EE7C50">
        <w:t>he same over-representation in the population that is homeles</w:t>
      </w:r>
      <w:r w:rsidR="009E561D">
        <w:t xml:space="preserve">s </w:t>
      </w:r>
      <w:r w:rsidR="008C4371">
        <w:t>prefaces</w:t>
      </w:r>
      <w:r w:rsidR="009E561D">
        <w:t xml:space="preserve"> </w:t>
      </w:r>
      <w:r w:rsidR="00EE7C50">
        <w:t xml:space="preserve">the </w:t>
      </w:r>
      <w:r w:rsidR="00095429">
        <w:t>identical</w:t>
      </w:r>
      <w:r w:rsidR="00EE7C50">
        <w:t xml:space="preserve"> inclination </w:t>
      </w:r>
      <w:r w:rsidR="009E561D">
        <w:t>towards</w:t>
      </w:r>
      <w:r w:rsidR="00EE7C50">
        <w:t xml:space="preserve"> over-representation of Indigenous Peoples </w:t>
      </w:r>
      <w:r w:rsidR="004B59B1">
        <w:t xml:space="preserve">within </w:t>
      </w:r>
      <w:r w:rsidR="00EE7C50">
        <w:t xml:space="preserve">the settler state’s </w:t>
      </w:r>
      <w:r w:rsidR="004B59B1">
        <w:t>carceral</w:t>
      </w:r>
      <w:r w:rsidR="009E561D">
        <w:t xml:space="preserve"> </w:t>
      </w:r>
      <w:r w:rsidR="00EE7C50">
        <w:t>systems.</w:t>
      </w:r>
      <w:r w:rsidR="00EE7C50">
        <w:rPr>
          <w:rStyle w:val="Refdenotaalpie"/>
        </w:rPr>
        <w:footnoteReference w:id="45"/>
      </w:r>
      <w:r w:rsidR="00EE7C50">
        <w:t xml:space="preserve"> For the scholar Joan Sangster, it is the same premise of intersectional oppressions “based on gender, race, and economic marginality</w:t>
      </w:r>
      <w:r w:rsidR="004B59B1">
        <w:t>” that</w:t>
      </w:r>
      <w:r w:rsidR="00EE7C50">
        <w:t xml:space="preserve"> create the power relations that define how certain individuals will experience colonialism based </w:t>
      </w:r>
      <w:proofErr w:type="gramStart"/>
      <w:r w:rsidR="00EE7C50">
        <w:t xml:space="preserve">off </w:t>
      </w:r>
      <w:r w:rsidR="00095429">
        <w:t>of</w:t>
      </w:r>
      <w:proofErr w:type="gramEnd"/>
      <w:r w:rsidR="00095429">
        <w:t xml:space="preserve"> </w:t>
      </w:r>
      <w:r w:rsidR="00EE7C50">
        <w:t>identifying factors</w:t>
      </w:r>
      <w:r w:rsidR="00B04D48">
        <w:t xml:space="preserve"> like race, culture, and ethnicity</w:t>
      </w:r>
      <w:r w:rsidR="00EE7C50">
        <w:t>.</w:t>
      </w:r>
      <w:r w:rsidR="00EE7C50">
        <w:rPr>
          <w:rStyle w:val="Refdenotaalpie"/>
        </w:rPr>
        <w:footnoteReference w:id="46"/>
      </w:r>
    </w:p>
    <w:p w14:paraId="13B33CDB" w14:textId="57ABDD1C" w:rsidR="000462BB" w:rsidRDefault="0050553D" w:rsidP="000462BB">
      <w:r>
        <w:tab/>
      </w:r>
      <w:r w:rsidR="00EE7C50">
        <w:t xml:space="preserve">Moving forward, scholarship </w:t>
      </w:r>
      <w:r w:rsidR="004B59B1">
        <w:t>demonstrates</w:t>
      </w:r>
      <w:r w:rsidR="00EE7C50">
        <w:t xml:space="preserve"> that the colonial state needs to be decentered from the process of both responding to problems surrounding Indigenous homelessness as well as from </w:t>
      </w:r>
      <w:r w:rsidR="000462BB">
        <w:t>its</w:t>
      </w:r>
      <w:r w:rsidR="00EE7C50">
        <w:t xml:space="preserve"> p</w:t>
      </w:r>
      <w:r w:rsidR="00095429">
        <w:t>edestal</w:t>
      </w:r>
      <w:r w:rsidR="00EE7C50">
        <w:t xml:space="preserve"> as the exclusive </w:t>
      </w:r>
      <w:r w:rsidR="000462BB">
        <w:t xml:space="preserve">author of public history in order for solutions that </w:t>
      </w:r>
      <w:r w:rsidR="00095429">
        <w:t>center</w:t>
      </w:r>
      <w:r w:rsidR="000462BB">
        <w:t xml:space="preserve"> Indigenous ways of </w:t>
      </w:r>
      <w:r w:rsidR="00072655">
        <w:t>being</w:t>
      </w:r>
      <w:r w:rsidR="000462BB">
        <w:t xml:space="preserve"> to solve the problems facing Indigenous communities.</w:t>
      </w:r>
      <w:r w:rsidR="000462BB">
        <w:rPr>
          <w:rStyle w:val="Refdenotaalpie"/>
        </w:rPr>
        <w:footnoteReference w:id="47"/>
      </w:r>
      <w:r w:rsidR="000462BB">
        <w:t xml:space="preserve"> For Mohawk anthropologist Audra Simpson, it is only when the peoples </w:t>
      </w:r>
      <w:r w:rsidR="000462BB">
        <w:lastRenderedPageBreak/>
        <w:t xml:space="preserve">that settler culture has spoken for </w:t>
      </w:r>
      <w:r w:rsidR="00095429">
        <w:t>speak</w:t>
      </w:r>
      <w:r w:rsidR="000462BB">
        <w:t xml:space="preserve"> for themselves that </w:t>
      </w:r>
      <w:r w:rsidR="004B59B1">
        <w:t xml:space="preserve">hegemonic </w:t>
      </w:r>
      <w:r w:rsidR="000462BB">
        <w:t>historical and anthropological narratives can be challenged.</w:t>
      </w:r>
      <w:r w:rsidR="000462BB">
        <w:rPr>
          <w:rStyle w:val="Refdenotaalpie"/>
        </w:rPr>
        <w:footnoteReference w:id="48"/>
      </w:r>
      <w:r w:rsidR="000462BB">
        <w:t xml:space="preserve"> </w:t>
      </w:r>
      <w:r w:rsidR="00095429">
        <w:t xml:space="preserve">Thus, the </w:t>
      </w:r>
      <w:r w:rsidR="000462BB">
        <w:t>refusal to participate in these institutions that dominate the historical consciousness of a place is an act of Indigenous sovereignty against ongoing oppression.</w:t>
      </w:r>
      <w:r w:rsidR="000462BB">
        <w:rPr>
          <w:rStyle w:val="Refdenotaalpie"/>
        </w:rPr>
        <w:footnoteReference w:id="49"/>
      </w:r>
      <w:r w:rsidR="000462BB">
        <w:t xml:space="preserve"> The Indigenous </w:t>
      </w:r>
      <w:r w:rsidR="00095429">
        <w:t>p</w:t>
      </w:r>
      <w:r w:rsidR="000462BB">
        <w:t xml:space="preserve">oet Marilyn Dumont expressed these ideas succinctly: </w:t>
      </w:r>
    </w:p>
    <w:p w14:paraId="0C83923A" w14:textId="4340825E" w:rsidR="000462BB" w:rsidRDefault="000462BB" w:rsidP="000462BB">
      <w:pPr>
        <w:spacing w:line="240" w:lineRule="auto"/>
        <w:ind w:left="708"/>
        <w:rPr>
          <w:sz w:val="22"/>
          <w:szCs w:val="20"/>
        </w:rPr>
      </w:pPr>
      <w:r w:rsidRPr="000462BB">
        <w:rPr>
          <w:sz w:val="22"/>
          <w:szCs w:val="20"/>
        </w:rPr>
        <w:t>without economic leverage, Indigenous history is dependent on the awareness and goodwill of an industry that has the power to further wipe it out with the very instruments that colonized Edmonton.</w:t>
      </w:r>
      <w:r>
        <w:rPr>
          <w:rStyle w:val="Refdenotaalpie"/>
          <w:sz w:val="22"/>
          <w:szCs w:val="20"/>
        </w:rPr>
        <w:footnoteReference w:id="50"/>
      </w:r>
    </w:p>
    <w:p w14:paraId="2363A7E5" w14:textId="412CBC41" w:rsidR="000462BB" w:rsidRDefault="000462BB" w:rsidP="000462BB">
      <w:pPr>
        <w:spacing w:line="240" w:lineRule="auto"/>
        <w:rPr>
          <w:sz w:val="22"/>
          <w:szCs w:val="20"/>
        </w:rPr>
      </w:pPr>
    </w:p>
    <w:p w14:paraId="5A4FEAD6" w14:textId="21F99E41" w:rsidR="00783BF9" w:rsidRDefault="000462BB" w:rsidP="008C4371">
      <w:r w:rsidRPr="000462BB">
        <w:t>Th</w:t>
      </w:r>
      <w:r w:rsidR="008E3325">
        <w:t xml:space="preserve">ese two positions reflect the immediacy of historical reclamation as part and parcel of the </w:t>
      </w:r>
      <w:r w:rsidR="00095429">
        <w:t xml:space="preserve">solution to the </w:t>
      </w:r>
      <w:r w:rsidR="008E3325">
        <w:t xml:space="preserve">more tangible, yet often ‘invisible’, social ill </w:t>
      </w:r>
      <w:r w:rsidR="008C4371">
        <w:t>of</w:t>
      </w:r>
      <w:r w:rsidR="008E3325">
        <w:t xml:space="preserve"> </w:t>
      </w:r>
      <w:r w:rsidR="008C4371">
        <w:t xml:space="preserve">settler </w:t>
      </w:r>
      <w:r w:rsidR="008E3325">
        <w:t>societ</w:t>
      </w:r>
      <w:r w:rsidR="008C4371">
        <w:t>y</w:t>
      </w:r>
      <w:r w:rsidR="008E3325">
        <w:t xml:space="preserve"> </w:t>
      </w:r>
      <w:r w:rsidR="00BF3AFA">
        <w:t>that permits</w:t>
      </w:r>
      <w:r w:rsidR="008E3325">
        <w:t xml:space="preserve"> all </w:t>
      </w:r>
      <w:r w:rsidR="00BF3AFA">
        <w:t xml:space="preserve">types of </w:t>
      </w:r>
      <w:r w:rsidR="008E3325">
        <w:t xml:space="preserve">peoples to live in squalor, but especially Indigenous Peoples. </w:t>
      </w:r>
    </w:p>
    <w:p w14:paraId="6C3EEF10" w14:textId="55734A49" w:rsidR="000462BB" w:rsidRPr="000462BB" w:rsidRDefault="004B59B1" w:rsidP="00F609FE">
      <w:pPr>
        <w:ind w:firstLine="708"/>
      </w:pPr>
      <w:r>
        <w:t>Throughout</w:t>
      </w:r>
      <w:r w:rsidR="008E3325">
        <w:t xml:space="preserve"> the course of this historiographic report, it has been demonstrated that larger systems of power a</w:t>
      </w:r>
      <w:r>
        <w:t>re</w:t>
      </w:r>
      <w:r w:rsidR="008E3325">
        <w:t xml:space="preserve"> responsible for producing histories that in turn reproduce structural inequalities presently.</w:t>
      </w:r>
      <w:r w:rsidR="008E3325">
        <w:rPr>
          <w:rStyle w:val="Refdenotaalpie"/>
        </w:rPr>
        <w:footnoteReference w:id="51"/>
      </w:r>
      <w:r w:rsidR="00BF3AFA">
        <w:t xml:space="preserve"> </w:t>
      </w:r>
      <w:r w:rsidR="00BF3AFA" w:rsidRPr="00072655">
        <w:t>Through the process</w:t>
      </w:r>
      <w:r w:rsidR="00072655" w:rsidRPr="00072655">
        <w:t>es</w:t>
      </w:r>
      <w:r w:rsidR="00BF3AFA" w:rsidRPr="00072655">
        <w:t xml:space="preserve"> of establishing historical authority</w:t>
      </w:r>
      <w:r w:rsidRPr="00072655">
        <w:t xml:space="preserve"> and </w:t>
      </w:r>
      <w:r w:rsidR="00072655" w:rsidRPr="00072655">
        <w:t>perpetuating</w:t>
      </w:r>
      <w:r w:rsidR="00BF3AFA" w:rsidRPr="00072655">
        <w:t xml:space="preserve"> mythologies</w:t>
      </w:r>
      <w:r w:rsidRPr="00072655">
        <w:t xml:space="preserve">, </w:t>
      </w:r>
      <w:r w:rsidR="00BF3AFA" w:rsidRPr="00072655">
        <w:t xml:space="preserve"> </w:t>
      </w:r>
      <w:r w:rsidR="008C4371" w:rsidRPr="00072655">
        <w:t>institutions</w:t>
      </w:r>
      <w:r w:rsidR="00783BF9" w:rsidRPr="00072655">
        <w:t xml:space="preserve"> </w:t>
      </w:r>
      <w:r w:rsidR="00072655" w:rsidRPr="00072655">
        <w:t>that obscure</w:t>
      </w:r>
      <w:r w:rsidR="00BF3AFA" w:rsidRPr="00072655">
        <w:t xml:space="preserve"> the systemic nature of social inequality, Indigenous homelessness</w:t>
      </w:r>
      <w:r w:rsidR="00783BF9" w:rsidRPr="00072655">
        <w:t>,</w:t>
      </w:r>
      <w:r w:rsidR="00BF3AFA" w:rsidRPr="00072655">
        <w:t xml:space="preserve"> or </w:t>
      </w:r>
      <w:r w:rsidR="00783BF9" w:rsidRPr="00072655">
        <w:t>‘</w:t>
      </w:r>
      <w:r w:rsidR="00BF3AFA" w:rsidRPr="00072655">
        <w:t>rootlessness</w:t>
      </w:r>
      <w:r w:rsidR="00783BF9" w:rsidRPr="00072655">
        <w:t>’,</w:t>
      </w:r>
      <w:r w:rsidR="00BF3AFA" w:rsidRPr="00072655">
        <w:t xml:space="preserve"> demonstrate how contemporarily saturated the urbanized settler spaces are in colonial processes.</w:t>
      </w:r>
      <w:r w:rsidR="00BF3AFA">
        <w:t xml:space="preserve"> </w:t>
      </w:r>
      <w:r w:rsidR="00783BF9">
        <w:t xml:space="preserve">Although camp pekiwewin was far from perfect in its execution, the lack of support that this community initiative </w:t>
      </w:r>
      <w:r w:rsidR="00095429">
        <w:t>received</w:t>
      </w:r>
      <w:r w:rsidR="00783BF9">
        <w:t xml:space="preserve"> via the municipality ultimately delineates the insecurity and fragility of the settler city as it depends on Indigenous </w:t>
      </w:r>
      <w:r w:rsidR="000D2916">
        <w:t>dispossession</w:t>
      </w:r>
      <w:r w:rsidR="00783BF9">
        <w:t xml:space="preserve"> </w:t>
      </w:r>
      <w:r w:rsidR="008C4371">
        <w:t>to</w:t>
      </w:r>
      <w:r w:rsidR="00783BF9">
        <w:t xml:space="preserve"> exist.</w:t>
      </w:r>
      <w:r w:rsidR="000D2916">
        <w:rPr>
          <w:rStyle w:val="Refdenotaalpie"/>
        </w:rPr>
        <w:footnoteReference w:id="52"/>
      </w:r>
      <w:r w:rsidR="00C52293">
        <w:t xml:space="preserve"> </w:t>
      </w:r>
      <w:r w:rsidR="00556D93">
        <w:t xml:space="preserve">The </w:t>
      </w:r>
      <w:r w:rsidR="00F83934">
        <w:t xml:space="preserve">continuation of the homeless </w:t>
      </w:r>
      <w:r w:rsidR="00F83934">
        <w:lastRenderedPageBreak/>
        <w:t xml:space="preserve">crisis that disproportionately affects Indigenous Peoples </w:t>
      </w:r>
      <w:r w:rsidR="000A69D2">
        <w:t>in one of Canadas coldest capital cities demonstrates the unwillingness of the settler state to</w:t>
      </w:r>
      <w:r w:rsidR="00C36C16">
        <w:t xml:space="preserve"> </w:t>
      </w:r>
      <w:r w:rsidR="00C00516">
        <w:t xml:space="preserve">provide space </w:t>
      </w:r>
      <w:r>
        <w:t xml:space="preserve">for the </w:t>
      </w:r>
      <w:r w:rsidR="00437B21">
        <w:t>urban representation</w:t>
      </w:r>
      <w:r>
        <w:t xml:space="preserve"> of these same populations</w:t>
      </w:r>
      <w:r w:rsidR="00C00516">
        <w:t>.</w:t>
      </w:r>
      <w:r w:rsidR="003F29BC">
        <w:t xml:space="preserve"> </w:t>
      </w:r>
      <w:r w:rsidR="00F609FE">
        <w:t>T</w:t>
      </w:r>
      <w:r w:rsidR="000D2916">
        <w:t xml:space="preserve">he City of Edmonton is content to address its obligations as a Treaty city </w:t>
      </w:r>
      <w:r w:rsidR="00095429">
        <w:t xml:space="preserve">exclusively </w:t>
      </w:r>
      <w:r w:rsidR="000D2916">
        <w:t>in the footnotes</w:t>
      </w:r>
      <w:r w:rsidR="00F609FE">
        <w:t>, and thus performatively</w:t>
      </w:r>
      <w:r w:rsidR="000D2916">
        <w:t>.</w:t>
      </w:r>
      <w:r w:rsidR="000D2916">
        <w:rPr>
          <w:rStyle w:val="Refdenotaalpie"/>
        </w:rPr>
        <w:footnoteReference w:id="53"/>
      </w:r>
    </w:p>
    <w:p w14:paraId="76D5C916" w14:textId="2E8D7BA9" w:rsidR="000462BB" w:rsidRPr="000462BB" w:rsidRDefault="000462BB" w:rsidP="000462BB">
      <w:pPr>
        <w:sectPr w:rsidR="000462BB" w:rsidRPr="000462BB" w:rsidSect="005F1726">
          <w:pgSz w:w="12240" w:h="15840"/>
          <w:pgMar w:top="1417" w:right="1701" w:bottom="1417" w:left="1701" w:header="708" w:footer="708" w:gutter="0"/>
          <w:cols w:space="708"/>
          <w:docGrid w:linePitch="360"/>
        </w:sectPr>
      </w:pPr>
    </w:p>
    <w:p w14:paraId="1DA9D03D" w14:textId="2C80ECAA" w:rsidR="007167BE" w:rsidRDefault="007167BE" w:rsidP="00FD60BF">
      <w:pPr>
        <w:spacing w:line="240" w:lineRule="auto"/>
        <w:jc w:val="center"/>
      </w:pPr>
      <w:r>
        <w:lastRenderedPageBreak/>
        <w:t>Bibliography</w:t>
      </w:r>
    </w:p>
    <w:p w14:paraId="690409D3" w14:textId="5AF9DC36" w:rsidR="007167BE" w:rsidRDefault="007167BE" w:rsidP="007167BE">
      <w:pPr>
        <w:spacing w:line="240" w:lineRule="auto"/>
      </w:pPr>
    </w:p>
    <w:p w14:paraId="3E81E76C" w14:textId="25BD97F8" w:rsidR="007167BE" w:rsidRDefault="007167BE" w:rsidP="007167BE">
      <w:pPr>
        <w:spacing w:line="240" w:lineRule="auto"/>
        <w:rPr>
          <w:i/>
          <w:iCs/>
        </w:rPr>
      </w:pPr>
      <w:r>
        <w:rPr>
          <w:i/>
          <w:iCs/>
        </w:rPr>
        <w:t>Primary Sources</w:t>
      </w:r>
    </w:p>
    <w:p w14:paraId="757BD26B" w14:textId="2A443E18" w:rsidR="002F4C2D" w:rsidRDefault="002F4C2D" w:rsidP="007167BE">
      <w:pPr>
        <w:spacing w:line="240" w:lineRule="auto"/>
        <w:rPr>
          <w:i/>
          <w:iCs/>
        </w:rPr>
      </w:pPr>
    </w:p>
    <w:p w14:paraId="57341D35" w14:textId="55B99485" w:rsidR="005D0B3B" w:rsidRDefault="005D0B3B" w:rsidP="00767611">
      <w:pPr>
        <w:spacing w:line="240" w:lineRule="auto"/>
      </w:pPr>
      <w:r w:rsidRPr="005D0B3B">
        <w:t xml:space="preserve">“About.” </w:t>
      </w:r>
      <w:r>
        <w:rPr>
          <w:i/>
          <w:iCs/>
        </w:rPr>
        <w:t>Pekiwewin</w:t>
      </w:r>
      <w:r>
        <w:t xml:space="preserve">. Accessed Dec. 12, 2020. </w:t>
      </w:r>
      <w:hyperlink r:id="rId11" w:history="1">
        <w:r w:rsidRPr="0055564F">
          <w:rPr>
            <w:rStyle w:val="Hipervnculo"/>
          </w:rPr>
          <w:t>https://pekiwewin.com/about</w:t>
        </w:r>
      </w:hyperlink>
      <w:r>
        <w:t>.</w:t>
      </w:r>
    </w:p>
    <w:p w14:paraId="5A8D5BFB" w14:textId="77777777" w:rsidR="005D0B3B" w:rsidRPr="005D0B3B" w:rsidRDefault="005D0B3B" w:rsidP="00767611">
      <w:pPr>
        <w:spacing w:line="240" w:lineRule="auto"/>
      </w:pPr>
    </w:p>
    <w:p w14:paraId="6768BF17" w14:textId="44CF13B7" w:rsidR="00767611" w:rsidRDefault="00767611" w:rsidP="00767611">
      <w:pPr>
        <w:spacing w:line="240" w:lineRule="auto"/>
      </w:pPr>
      <w:r w:rsidRPr="000462BB">
        <w:t>Dumont, Marilyn</w:t>
      </w:r>
      <w:r>
        <w:t xml:space="preserve">. “Rossdale &amp; Reconciliation: Can the ‘Flats’ Development Truly </w:t>
      </w:r>
    </w:p>
    <w:p w14:paraId="1541ADC7" w14:textId="76D49B25" w:rsidR="002526C3" w:rsidRDefault="00767611" w:rsidP="002526C3">
      <w:pPr>
        <w:spacing w:line="240" w:lineRule="auto"/>
        <w:ind w:left="708"/>
      </w:pPr>
      <w:r>
        <w:t xml:space="preserve">Commemorate Our Indigenous History?” </w:t>
      </w:r>
      <w:r>
        <w:rPr>
          <w:i/>
          <w:iCs/>
        </w:rPr>
        <w:t>The Yards</w:t>
      </w:r>
      <w:r>
        <w:t xml:space="preserve">, Fall 2015. </w:t>
      </w:r>
      <w:hyperlink w:history="1">
        <w:r w:rsidRPr="00060A33">
          <w:rPr>
            <w:rStyle w:val="Hipervnculo"/>
          </w:rPr>
          <w:t>http://theyards yeg.ca/</w:t>
        </w:r>
        <w:proofErr w:type="spellStart"/>
        <w:r w:rsidRPr="00060A33">
          <w:rPr>
            <w:rStyle w:val="Hipervnculo"/>
          </w:rPr>
          <w:t>rossdale</w:t>
        </w:r>
        <w:proofErr w:type="spellEnd"/>
        <w:r w:rsidRPr="00060A33">
          <w:rPr>
            <w:rStyle w:val="Hipervnculo"/>
          </w:rPr>
          <w:t>-reconciliation</w:t>
        </w:r>
      </w:hyperlink>
      <w:r>
        <w:t xml:space="preserve">. </w:t>
      </w:r>
    </w:p>
    <w:p w14:paraId="5550E0DD" w14:textId="1ACF5308" w:rsidR="00640746" w:rsidRDefault="00640746" w:rsidP="00640746">
      <w:pPr>
        <w:spacing w:line="240" w:lineRule="auto"/>
      </w:pPr>
    </w:p>
    <w:p w14:paraId="56D96930" w14:textId="77777777" w:rsidR="00172978" w:rsidRDefault="00172978" w:rsidP="00640746">
      <w:pPr>
        <w:spacing w:line="240" w:lineRule="auto"/>
      </w:pPr>
      <w:r w:rsidRPr="000D2916">
        <w:t>Edmonton</w:t>
      </w:r>
      <w:r>
        <w:t xml:space="preserve">. “Choices for Our Future City. What We are Hearing: Indigenous Engagement.” </w:t>
      </w:r>
    </w:p>
    <w:p w14:paraId="64F0FB2C" w14:textId="00D68B5F" w:rsidR="00172978" w:rsidRPr="00172978" w:rsidRDefault="00172978" w:rsidP="00A46289">
      <w:pPr>
        <w:spacing w:line="240" w:lineRule="auto"/>
        <w:ind w:left="708"/>
      </w:pPr>
      <w:r>
        <w:rPr>
          <w:i/>
          <w:iCs/>
        </w:rPr>
        <w:t>The City Plan</w:t>
      </w:r>
      <w:r>
        <w:t xml:space="preserve">, Nov. 2018 – June 2019. </w:t>
      </w:r>
      <w:hyperlink r:id="rId12" w:history="1">
        <w:r w:rsidRPr="00366E61">
          <w:rPr>
            <w:rStyle w:val="Hipervnculo"/>
          </w:rPr>
          <w:t>https://www.edmonton.ca/city_government/ documents/PDF/City_Plan_WhatWeAreHearing_IndigenousEngagement.pdf</w:t>
        </w:r>
      </w:hyperlink>
      <w:r>
        <w:t>.</w:t>
      </w:r>
    </w:p>
    <w:p w14:paraId="7640F87F" w14:textId="2506617C" w:rsidR="00C9576A" w:rsidRDefault="00A46289" w:rsidP="00640746">
      <w:pPr>
        <w:spacing w:line="240" w:lineRule="auto"/>
      </w:pPr>
      <w:r>
        <w:t>______</w:t>
      </w:r>
      <w:r w:rsidR="00640746">
        <w:t xml:space="preserve">. “Sacred Spaces: Rossdale Burial Ground, Papaschase First Nation History, </w:t>
      </w:r>
    </w:p>
    <w:p w14:paraId="1EB11E18" w14:textId="550A5121" w:rsidR="00640746" w:rsidRPr="00640746" w:rsidRDefault="00640746" w:rsidP="00C9576A">
      <w:pPr>
        <w:spacing w:line="240" w:lineRule="auto"/>
        <w:ind w:left="708"/>
      </w:pPr>
      <w:r>
        <w:t>M</w:t>
      </w:r>
      <w:r w:rsidRPr="00640746">
        <w:t>é</w:t>
      </w:r>
      <w:r>
        <w:t xml:space="preserve">tis Land History.” </w:t>
      </w:r>
      <w:r w:rsidR="00C9576A">
        <w:t xml:space="preserve">Accessed Oct. 11, 2020. </w:t>
      </w:r>
      <w:hyperlink r:id="rId13" w:anchor="stack134492" w:history="1">
        <w:r w:rsidR="00437B21" w:rsidRPr="002A51E6">
          <w:rPr>
            <w:rStyle w:val="Hipervnculo"/>
          </w:rPr>
          <w:t>https://www.edmonton.ca/city _government /edmonton_archives/sacred-spaces.aspx#stack134492</w:t>
        </w:r>
      </w:hyperlink>
      <w:r w:rsidR="00C9576A">
        <w:t xml:space="preserve">. </w:t>
      </w:r>
    </w:p>
    <w:p w14:paraId="19AC8343" w14:textId="0A345FC2" w:rsidR="002526C3" w:rsidRDefault="002526C3" w:rsidP="002526C3">
      <w:pPr>
        <w:spacing w:line="240" w:lineRule="auto"/>
      </w:pPr>
    </w:p>
    <w:p w14:paraId="4D7143E9" w14:textId="77777777" w:rsidR="002526C3" w:rsidRDefault="002526C3" w:rsidP="002526C3">
      <w:pPr>
        <w:spacing w:line="240" w:lineRule="auto"/>
      </w:pPr>
      <w:r w:rsidRPr="005D0B3B">
        <w:t>Edmonton Maps Heritage</w:t>
      </w:r>
      <w:r>
        <w:t xml:space="preserve">. “Rossdale Burial Site.” Accessed Oct. 11, 2020. </w:t>
      </w:r>
    </w:p>
    <w:p w14:paraId="164A54B8" w14:textId="062E1D82" w:rsidR="002526C3" w:rsidRDefault="00426980" w:rsidP="002526C3">
      <w:pPr>
        <w:spacing w:line="240" w:lineRule="auto"/>
        <w:ind w:firstLine="708"/>
      </w:pPr>
      <w:hyperlink r:id="rId14" w:history="1">
        <w:r w:rsidR="002526C3" w:rsidRPr="00060A33">
          <w:rPr>
            <w:rStyle w:val="Hipervnculo"/>
          </w:rPr>
          <w:t>https://www.edmontonmapsheritage.ca/location/rossdale-burial-site/</w:t>
        </w:r>
      </w:hyperlink>
      <w:r w:rsidR="002526C3">
        <w:t xml:space="preserve">. </w:t>
      </w:r>
    </w:p>
    <w:p w14:paraId="1FD42137" w14:textId="77777777" w:rsidR="00767611" w:rsidRPr="00767611" w:rsidRDefault="00767611" w:rsidP="00767611">
      <w:pPr>
        <w:spacing w:line="240" w:lineRule="auto"/>
        <w:ind w:left="708"/>
      </w:pPr>
    </w:p>
    <w:p w14:paraId="169693AB" w14:textId="77777777" w:rsidR="00447DFA" w:rsidRDefault="00447DFA" w:rsidP="007167BE">
      <w:pPr>
        <w:spacing w:line="240" w:lineRule="auto"/>
      </w:pPr>
      <w:r w:rsidRPr="003B6D9A">
        <w:t>EPCOR</w:t>
      </w:r>
      <w:r>
        <w:t xml:space="preserve">. “Relationships with Indigenous Peoples.” Accessed Oct. 11, 2020. </w:t>
      </w:r>
    </w:p>
    <w:p w14:paraId="1DE7A87D" w14:textId="7121C74E" w:rsidR="00447DFA" w:rsidRPr="00C27BF8" w:rsidRDefault="00426980" w:rsidP="00447DFA">
      <w:pPr>
        <w:spacing w:line="240" w:lineRule="auto"/>
        <w:ind w:left="708"/>
      </w:pPr>
      <w:hyperlink r:id="rId15" w:history="1">
        <w:r w:rsidR="00437B21" w:rsidRPr="00C27BF8">
          <w:rPr>
            <w:rStyle w:val="Hipervnculo"/>
          </w:rPr>
          <w:t xml:space="preserve">https://www.epcor.com/products-services/infrastructure/construction-projects/ </w:t>
        </w:r>
        <w:proofErr w:type="spellStart"/>
        <w:r w:rsidR="00437B21" w:rsidRPr="00C27BF8">
          <w:rPr>
            <w:rStyle w:val="Hipervnculo"/>
          </w:rPr>
          <w:t>rossdale</w:t>
        </w:r>
        <w:proofErr w:type="spellEnd"/>
        <w:r w:rsidR="00437B21" w:rsidRPr="00C27BF8">
          <w:rPr>
            <w:rStyle w:val="Hipervnculo"/>
          </w:rPr>
          <w:t>-site/Pages/rossdale-indigenous-peoples.aspx</w:t>
        </w:r>
      </w:hyperlink>
      <w:r w:rsidR="00447DFA" w:rsidRPr="00C27BF8">
        <w:t xml:space="preserve">. </w:t>
      </w:r>
    </w:p>
    <w:p w14:paraId="59608C75" w14:textId="77777777" w:rsidR="00447DFA" w:rsidRPr="00C27BF8" w:rsidRDefault="00447DFA" w:rsidP="000462BB">
      <w:pPr>
        <w:spacing w:line="240" w:lineRule="auto"/>
      </w:pPr>
    </w:p>
    <w:p w14:paraId="4C421C9B" w14:textId="64DD6E91" w:rsidR="004722B9" w:rsidRPr="00767611" w:rsidRDefault="004722B9" w:rsidP="007167BE">
      <w:pPr>
        <w:spacing w:line="240" w:lineRule="auto"/>
      </w:pPr>
      <w:r w:rsidRPr="00BF1CEC">
        <w:t>Jimmy, Miranda.</w:t>
      </w:r>
      <w:r w:rsidRPr="00767611">
        <w:t xml:space="preserve"> </w:t>
      </w:r>
      <w:r w:rsidRPr="004722B9">
        <w:t>“Continuing to RAM C</w:t>
      </w:r>
      <w:r>
        <w:t xml:space="preserve">olonization Down our Throats.” </w:t>
      </w:r>
      <w:r w:rsidRPr="00767611">
        <w:rPr>
          <w:i/>
          <w:iCs/>
        </w:rPr>
        <w:t>Miranda Jimmy</w:t>
      </w:r>
      <w:r w:rsidRPr="00767611">
        <w:t xml:space="preserve">. </w:t>
      </w:r>
    </w:p>
    <w:p w14:paraId="3CF00C57" w14:textId="385D0935" w:rsidR="004722B9" w:rsidRDefault="004722B9" w:rsidP="004722B9">
      <w:pPr>
        <w:spacing w:line="240" w:lineRule="auto"/>
        <w:ind w:left="708"/>
      </w:pPr>
      <w:r w:rsidRPr="00767611">
        <w:t xml:space="preserve">July 1, 2019. </w:t>
      </w:r>
      <w:hyperlink r:id="rId16" w:history="1">
        <w:r w:rsidRPr="00767611">
          <w:rPr>
            <w:rStyle w:val="Hipervnculo"/>
          </w:rPr>
          <w:t>http://mirandajimmy.com/continuing-to-ram-colonization-down-our-throats/</w:t>
        </w:r>
      </w:hyperlink>
      <w:r w:rsidRPr="00767611">
        <w:t xml:space="preserve">. </w:t>
      </w:r>
    </w:p>
    <w:p w14:paraId="063A59CE" w14:textId="77777777" w:rsidR="003C08AC" w:rsidRDefault="003C08AC" w:rsidP="003C08AC">
      <w:pPr>
        <w:spacing w:line="240" w:lineRule="auto"/>
      </w:pPr>
    </w:p>
    <w:p w14:paraId="0793ECEF" w14:textId="77777777" w:rsidR="003C08AC" w:rsidRDefault="003C08AC" w:rsidP="003C08AC">
      <w:pPr>
        <w:spacing w:line="240" w:lineRule="auto"/>
        <w:rPr>
          <w:i/>
          <w:iCs/>
        </w:rPr>
      </w:pPr>
      <w:r w:rsidRPr="00377118">
        <w:t>Metcalfe-</w:t>
      </w:r>
      <w:proofErr w:type="spellStart"/>
      <w:r w:rsidRPr="00377118">
        <w:t>Chenail</w:t>
      </w:r>
      <w:proofErr w:type="spellEnd"/>
      <w:r>
        <w:t xml:space="preserve">, Danielle. “Re-Imagining Rossdale: </w:t>
      </w:r>
      <w:proofErr w:type="spellStart"/>
      <w:r>
        <w:t>Pehonan</w:t>
      </w:r>
      <w:proofErr w:type="spellEnd"/>
      <w:r>
        <w:t xml:space="preserve"> and the Power Plant.” </w:t>
      </w:r>
      <w:r>
        <w:rPr>
          <w:i/>
          <w:iCs/>
        </w:rPr>
        <w:t xml:space="preserve">City </w:t>
      </w:r>
    </w:p>
    <w:p w14:paraId="6437036E" w14:textId="6E0C407C" w:rsidR="003C08AC" w:rsidRPr="00767611" w:rsidRDefault="003C08AC" w:rsidP="003C08AC">
      <w:pPr>
        <w:spacing w:line="240" w:lineRule="auto"/>
        <w:ind w:left="708"/>
      </w:pPr>
      <w:r>
        <w:rPr>
          <w:i/>
          <w:iCs/>
        </w:rPr>
        <w:t>Museum Edmonton</w:t>
      </w:r>
      <w:r>
        <w:t xml:space="preserve">, Feb. 10, 2015. </w:t>
      </w:r>
      <w:hyperlink r:id="rId17" w:history="1">
        <w:r w:rsidRPr="00060A33">
          <w:rPr>
            <w:rStyle w:val="Hipervnculo"/>
          </w:rPr>
          <w:t>https://citymuseumedmonton.ca/2015/02/10/re-imagining-rossdale-pehonan-and-the-power-plant/</w:t>
        </w:r>
      </w:hyperlink>
      <w:r>
        <w:t xml:space="preserve">. </w:t>
      </w:r>
    </w:p>
    <w:p w14:paraId="1CB0F935" w14:textId="4C553142" w:rsidR="002526C3" w:rsidRDefault="002526C3" w:rsidP="002526C3">
      <w:pPr>
        <w:spacing w:line="240" w:lineRule="auto"/>
      </w:pPr>
    </w:p>
    <w:p w14:paraId="2E387DBF" w14:textId="77777777" w:rsidR="002526C3" w:rsidRDefault="002526C3" w:rsidP="002526C3">
      <w:pPr>
        <w:spacing w:line="240" w:lineRule="auto"/>
      </w:pPr>
      <w:r w:rsidRPr="0050553D">
        <w:t>Travel Alberta</w:t>
      </w:r>
      <w:r w:rsidRPr="00172978">
        <w:t xml:space="preserve">: Canada. </w:t>
      </w:r>
      <w:r w:rsidRPr="002526C3">
        <w:t>“Rossdale Burial Site.” Accessed O</w:t>
      </w:r>
      <w:r>
        <w:t xml:space="preserve">ct. 11, 2020. </w:t>
      </w:r>
    </w:p>
    <w:p w14:paraId="7B4F83FE" w14:textId="7275D093" w:rsidR="002526C3" w:rsidRPr="002526C3" w:rsidRDefault="00426980" w:rsidP="002526C3">
      <w:pPr>
        <w:spacing w:line="240" w:lineRule="auto"/>
        <w:ind w:firstLine="708"/>
      </w:pPr>
      <w:hyperlink r:id="rId18" w:history="1">
        <w:r w:rsidR="00640746" w:rsidRPr="00060A33">
          <w:rPr>
            <w:rStyle w:val="Hipervnculo"/>
          </w:rPr>
          <w:t>https://www.travelalberta.com/ca/listings/rossdale-burial-site-6163/</w:t>
        </w:r>
      </w:hyperlink>
      <w:r w:rsidR="002526C3">
        <w:t xml:space="preserve">. </w:t>
      </w:r>
    </w:p>
    <w:p w14:paraId="34F06340" w14:textId="051C5DAE" w:rsidR="0042708C" w:rsidRPr="002526C3" w:rsidRDefault="0042708C" w:rsidP="0042708C">
      <w:pPr>
        <w:spacing w:line="240" w:lineRule="auto"/>
      </w:pPr>
    </w:p>
    <w:p w14:paraId="6C81BA2F" w14:textId="77777777" w:rsidR="00A1584B" w:rsidRDefault="00A1584B" w:rsidP="007167BE">
      <w:pPr>
        <w:spacing w:line="240" w:lineRule="auto"/>
        <w:rPr>
          <w:i/>
          <w:iCs/>
        </w:rPr>
      </w:pPr>
    </w:p>
    <w:p w14:paraId="0D5E60E7" w14:textId="77777777" w:rsidR="00492DEE" w:rsidRDefault="00492DEE" w:rsidP="007167BE">
      <w:pPr>
        <w:spacing w:line="240" w:lineRule="auto"/>
        <w:rPr>
          <w:i/>
          <w:iCs/>
        </w:rPr>
        <w:sectPr w:rsidR="00492DEE" w:rsidSect="007167BE">
          <w:headerReference w:type="default" r:id="rId19"/>
          <w:pgSz w:w="12240" w:h="15840"/>
          <w:pgMar w:top="1417" w:right="1701" w:bottom="1417" w:left="1701" w:header="708" w:footer="708" w:gutter="0"/>
          <w:pgNumType w:start="1"/>
          <w:cols w:space="708"/>
          <w:docGrid w:linePitch="360"/>
        </w:sectPr>
      </w:pPr>
    </w:p>
    <w:p w14:paraId="769213B8" w14:textId="4E0E1592" w:rsidR="007167BE" w:rsidRDefault="007167BE" w:rsidP="007167BE">
      <w:pPr>
        <w:spacing w:line="240" w:lineRule="auto"/>
        <w:rPr>
          <w:i/>
          <w:iCs/>
        </w:rPr>
      </w:pPr>
      <w:r>
        <w:rPr>
          <w:i/>
          <w:iCs/>
        </w:rPr>
        <w:lastRenderedPageBreak/>
        <w:t>Secondary Sources</w:t>
      </w:r>
    </w:p>
    <w:p w14:paraId="3516936E" w14:textId="3E22AA5E" w:rsidR="002F4C2D" w:rsidRDefault="002F4C2D" w:rsidP="007167BE">
      <w:pPr>
        <w:spacing w:line="240" w:lineRule="auto"/>
        <w:rPr>
          <w:i/>
          <w:iCs/>
        </w:rPr>
      </w:pPr>
    </w:p>
    <w:p w14:paraId="1B476665" w14:textId="77777777" w:rsidR="00FF467C" w:rsidRDefault="00FF467C" w:rsidP="00FF467C">
      <w:pPr>
        <w:spacing w:line="240" w:lineRule="auto"/>
      </w:pPr>
      <w:proofErr w:type="spellStart"/>
      <w:r w:rsidRPr="00FF467C">
        <w:t>Adese</w:t>
      </w:r>
      <w:proofErr w:type="spellEnd"/>
      <w:r>
        <w:t>, Jennifer</w:t>
      </w:r>
      <w:r w:rsidRPr="00FF467C">
        <w:t xml:space="preserve">. “Behaving Unexpectedly in Unexpected Places: First Nations Artists and </w:t>
      </w:r>
    </w:p>
    <w:p w14:paraId="4E469618" w14:textId="00CEEFA6" w:rsidR="00FF467C" w:rsidRDefault="00FF467C" w:rsidP="00FF467C">
      <w:pPr>
        <w:spacing w:line="240" w:lineRule="auto"/>
        <w:ind w:left="708"/>
      </w:pPr>
      <w:r w:rsidRPr="00FF467C">
        <w:t>the</w:t>
      </w:r>
      <w:r>
        <w:t xml:space="preserve"> </w:t>
      </w:r>
      <w:r w:rsidRPr="00FF467C">
        <w:t>Embodiment of Visual Sovereignty</w:t>
      </w:r>
      <w:r>
        <w:t>.</w:t>
      </w:r>
      <w:r w:rsidRPr="00FF467C">
        <w:t xml:space="preserve">” </w:t>
      </w:r>
      <w:r>
        <w:t>I</w:t>
      </w:r>
      <w:r w:rsidRPr="00FF467C">
        <w:t xml:space="preserve">n </w:t>
      </w:r>
      <w:r w:rsidRPr="00FF467C">
        <w:rPr>
          <w:i/>
          <w:iCs/>
        </w:rPr>
        <w:t>More Will Sing</w:t>
      </w:r>
      <w:r>
        <w:rPr>
          <w:i/>
          <w:iCs/>
        </w:rPr>
        <w:t xml:space="preserve"> </w:t>
      </w:r>
      <w:r w:rsidRPr="00FF467C">
        <w:rPr>
          <w:i/>
          <w:iCs/>
        </w:rPr>
        <w:t xml:space="preserve">Their Way </w:t>
      </w:r>
      <w:r w:rsidR="004E6667">
        <w:rPr>
          <w:i/>
          <w:iCs/>
        </w:rPr>
        <w:t>t</w:t>
      </w:r>
      <w:r w:rsidRPr="00FF467C">
        <w:rPr>
          <w:i/>
          <w:iCs/>
        </w:rPr>
        <w:t>o Freedom: Indigenous Resistance and Resurgence</w:t>
      </w:r>
      <w:r>
        <w:t>, edited by</w:t>
      </w:r>
      <w:r w:rsidRPr="00FF467C">
        <w:t xml:space="preserve"> Elaine Coburn and Emma LaRocque</w:t>
      </w:r>
      <w:r>
        <w:t xml:space="preserve">, 129-146. </w:t>
      </w:r>
      <w:r w:rsidRPr="00FF467C">
        <w:t>Winnipeg: Fernwood Publishing,</w:t>
      </w:r>
      <w:r>
        <w:t xml:space="preserve"> </w:t>
      </w:r>
      <w:r w:rsidRPr="00FF467C">
        <w:t>2015</w:t>
      </w:r>
      <w:r>
        <w:t xml:space="preserve">. </w:t>
      </w:r>
    </w:p>
    <w:p w14:paraId="31F57D66" w14:textId="77777777" w:rsidR="00FF467C" w:rsidRDefault="00FF467C" w:rsidP="00FF467C">
      <w:pPr>
        <w:spacing w:line="240" w:lineRule="auto"/>
      </w:pPr>
    </w:p>
    <w:p w14:paraId="4DE99F00" w14:textId="372980FF" w:rsidR="00B56036" w:rsidRDefault="00B56036" w:rsidP="001466E8">
      <w:pPr>
        <w:spacing w:line="240" w:lineRule="auto"/>
      </w:pPr>
      <w:r w:rsidRPr="00082440">
        <w:t xml:space="preserve">Belanger, Yale </w:t>
      </w:r>
      <w:proofErr w:type="gramStart"/>
      <w:r w:rsidRPr="00082440">
        <w:t>D.</w:t>
      </w:r>
      <w:proofErr w:type="gramEnd"/>
      <w:r w:rsidRPr="00082440">
        <w:t xml:space="preserve"> </w:t>
      </w:r>
      <w:r w:rsidRPr="00B56036">
        <w:t>and Gabrielle Lindstrom. “‘All</w:t>
      </w:r>
      <w:r>
        <w:t xml:space="preserve"> We Need Is Our Land’: Exploring </w:t>
      </w:r>
    </w:p>
    <w:p w14:paraId="0B884011" w14:textId="015FA92C" w:rsidR="00B56036" w:rsidRDefault="00B56036" w:rsidP="00B56036">
      <w:pPr>
        <w:spacing w:line="240" w:lineRule="auto"/>
        <w:ind w:left="708"/>
      </w:pPr>
      <w:r>
        <w:t xml:space="preserve">Southern Alberta Urban Indigenous Homelessness.” In </w:t>
      </w:r>
      <w:r>
        <w:rPr>
          <w:i/>
          <w:iCs/>
        </w:rPr>
        <w:t>Indigenous Homelessness: Perspectives from Canada, Australia, and New Zealand</w:t>
      </w:r>
      <w:r>
        <w:t xml:space="preserve">, edited by Evelyn J. Peters and Julie Christensen, 161-184. Manitoba: University of Manitoba Press, 2016. ProQuest </w:t>
      </w:r>
      <w:proofErr w:type="spellStart"/>
      <w:r>
        <w:t>Ebook</w:t>
      </w:r>
      <w:proofErr w:type="spellEnd"/>
      <w:r>
        <w:t xml:space="preserve"> Central. </w:t>
      </w:r>
    </w:p>
    <w:p w14:paraId="56BF3BA2" w14:textId="77777777" w:rsidR="00B56036" w:rsidRPr="00B56036" w:rsidRDefault="00B56036" w:rsidP="001466E8">
      <w:pPr>
        <w:spacing w:line="240" w:lineRule="auto"/>
        <w:rPr>
          <w:highlight w:val="yellow"/>
        </w:rPr>
      </w:pPr>
    </w:p>
    <w:p w14:paraId="2F375B57" w14:textId="77777777" w:rsidR="00ED1947" w:rsidRDefault="00A1584B" w:rsidP="00ED1947">
      <w:pPr>
        <w:spacing w:line="240" w:lineRule="auto"/>
      </w:pPr>
      <w:r w:rsidRPr="008E3325">
        <w:t>Bos, Brittney Anne.</w:t>
      </w:r>
      <w:r>
        <w:t xml:space="preserve"> “Introduction: Braiding Commemoration, Visual Analysis, and Race.” </w:t>
      </w:r>
    </w:p>
    <w:p w14:paraId="1EA9510C" w14:textId="16787D8E" w:rsidR="00A1584B" w:rsidRDefault="00A1584B" w:rsidP="00ED1947">
      <w:pPr>
        <w:spacing w:line="240" w:lineRule="auto"/>
        <w:ind w:left="708"/>
      </w:pPr>
      <w:r>
        <w:t xml:space="preserve">In </w:t>
      </w:r>
      <w:r>
        <w:rPr>
          <w:i/>
          <w:iCs/>
        </w:rPr>
        <w:t xml:space="preserve">Forging Iconographies and Casting Colonialism: Monuments and Memories in Ontario, 1850-2001. </w:t>
      </w:r>
      <w:r>
        <w:t xml:space="preserve">PhD diss., Queen’s University, 2016. </w:t>
      </w:r>
      <w:hyperlink w:history="1">
        <w:r w:rsidR="00ED798B" w:rsidRPr="002A51E6">
          <w:rPr>
            <w:rStyle w:val="Hipervnculo"/>
          </w:rPr>
          <w:t>https://qspace.library. queensu.ca/handle/1974/14959</w:t>
        </w:r>
      </w:hyperlink>
      <w:r>
        <w:t xml:space="preserve">. </w:t>
      </w:r>
    </w:p>
    <w:p w14:paraId="20345C82" w14:textId="77777777" w:rsidR="00A1584B" w:rsidRDefault="00A1584B" w:rsidP="001466E8">
      <w:pPr>
        <w:spacing w:line="240" w:lineRule="auto"/>
      </w:pPr>
    </w:p>
    <w:p w14:paraId="44D00173" w14:textId="648D6003" w:rsidR="0011776F" w:rsidRDefault="0011776F" w:rsidP="001466E8">
      <w:pPr>
        <w:spacing w:line="240" w:lineRule="auto"/>
      </w:pPr>
      <w:r w:rsidRPr="0050553D">
        <w:t>Bouchard, Gérard.</w:t>
      </w:r>
      <w:r w:rsidRPr="0011776F">
        <w:t xml:space="preserve"> “T</w:t>
      </w:r>
      <w:r>
        <w:t>he Small Nation with a Big Dream: Qu</w:t>
      </w:r>
      <w:r w:rsidRPr="0011776F">
        <w:t>é</w:t>
      </w:r>
      <w:r>
        <w:t xml:space="preserve">bec National Myths </w:t>
      </w:r>
    </w:p>
    <w:p w14:paraId="215E9F4B" w14:textId="04CCEDEB" w:rsidR="0011776F" w:rsidRDefault="0011776F" w:rsidP="0011776F">
      <w:pPr>
        <w:spacing w:line="240" w:lineRule="auto"/>
        <w:ind w:left="708"/>
      </w:pPr>
      <w:r>
        <w:t>(</w:t>
      </w:r>
      <w:proofErr w:type="gramStart"/>
      <w:r>
        <w:t>eighteenth</w:t>
      </w:r>
      <w:proofErr w:type="gramEnd"/>
      <w:r>
        <w:t xml:space="preserve">-twentieth centuries).” In </w:t>
      </w:r>
      <w:r>
        <w:rPr>
          <w:i/>
          <w:iCs/>
        </w:rPr>
        <w:t>National Myths: Constructed Pasts, Contested Presents</w:t>
      </w:r>
      <w:r>
        <w:t xml:space="preserve">, edited by Gérard Bouchard, 13-28. New York: Routledge, 2013. </w:t>
      </w:r>
    </w:p>
    <w:p w14:paraId="0D6ABD35" w14:textId="77777777" w:rsidR="0011776F" w:rsidRPr="0011776F" w:rsidRDefault="0011776F" w:rsidP="001466E8">
      <w:pPr>
        <w:spacing w:line="240" w:lineRule="auto"/>
      </w:pPr>
    </w:p>
    <w:p w14:paraId="2194C4D7" w14:textId="77777777" w:rsidR="00172978" w:rsidRDefault="00172978" w:rsidP="001466E8">
      <w:pPr>
        <w:spacing w:line="240" w:lineRule="auto"/>
        <w:rPr>
          <w:i/>
          <w:iCs/>
        </w:rPr>
      </w:pPr>
      <w:r w:rsidRPr="00843059">
        <w:t>Commonwealth</w:t>
      </w:r>
      <w:r>
        <w:t xml:space="preserve"> Historic Resource Management Limited. </w:t>
      </w:r>
      <w:r>
        <w:rPr>
          <w:i/>
          <w:iCs/>
        </w:rPr>
        <w:t xml:space="preserve">Rossdale Historical Land Use </w:t>
      </w:r>
    </w:p>
    <w:p w14:paraId="407DDD0A" w14:textId="772E3F9C" w:rsidR="00172978" w:rsidRDefault="00172978" w:rsidP="00172978">
      <w:pPr>
        <w:spacing w:line="240" w:lineRule="auto"/>
        <w:ind w:left="708"/>
      </w:pPr>
      <w:r>
        <w:rPr>
          <w:i/>
          <w:iCs/>
        </w:rPr>
        <w:t>Study</w:t>
      </w:r>
      <w:r>
        <w:t xml:space="preserve">. Feb. 2004. </w:t>
      </w:r>
      <w:hyperlink r:id="rId20" w:history="1">
        <w:r w:rsidR="00A92136" w:rsidRPr="00366E61">
          <w:rPr>
            <w:rStyle w:val="Hipervnculo"/>
          </w:rPr>
          <w:t>https://www.edmonton.ca/documents/PDF/Rossdale_Historical _Land_Use_Study_Feb_2004.pdf</w:t>
        </w:r>
      </w:hyperlink>
      <w:r>
        <w:t xml:space="preserve">. </w:t>
      </w:r>
    </w:p>
    <w:p w14:paraId="0EEF06AC" w14:textId="77777777" w:rsidR="00172978" w:rsidRPr="00172978" w:rsidRDefault="00172978" w:rsidP="001466E8">
      <w:pPr>
        <w:spacing w:line="240" w:lineRule="auto"/>
      </w:pPr>
    </w:p>
    <w:p w14:paraId="668CD33C" w14:textId="5CD708EA" w:rsidR="00623918" w:rsidRDefault="00623918" w:rsidP="001466E8">
      <w:pPr>
        <w:spacing w:line="240" w:lineRule="auto"/>
        <w:rPr>
          <w:i/>
          <w:iCs/>
        </w:rPr>
      </w:pPr>
      <w:r w:rsidRPr="00A62DBB">
        <w:t>Cronon, William.</w:t>
      </w:r>
      <w:r>
        <w:t xml:space="preserve"> “Foreword: Present Haunts of an </w:t>
      </w:r>
      <w:proofErr w:type="spellStart"/>
      <w:r>
        <w:t>Unvanished</w:t>
      </w:r>
      <w:proofErr w:type="spellEnd"/>
      <w:r>
        <w:t xml:space="preserve"> Past.” In </w:t>
      </w:r>
      <w:r>
        <w:rPr>
          <w:i/>
          <w:iCs/>
        </w:rPr>
        <w:t xml:space="preserve">Native Seattle: </w:t>
      </w:r>
    </w:p>
    <w:p w14:paraId="24E862C5" w14:textId="64AD3466" w:rsidR="00623918" w:rsidRDefault="00623918" w:rsidP="00623918">
      <w:pPr>
        <w:spacing w:line="240" w:lineRule="auto"/>
        <w:ind w:left="708"/>
      </w:pPr>
      <w:r>
        <w:rPr>
          <w:i/>
          <w:iCs/>
        </w:rPr>
        <w:t>Histories from the Crossing-Over Place</w:t>
      </w:r>
      <w:r>
        <w:t>, by Coll-Peter Thrush</w:t>
      </w:r>
      <w:r w:rsidR="00C612A2">
        <w:t>, vii-xi.</w:t>
      </w:r>
      <w:r>
        <w:t xml:space="preserve"> Weyerhaeuser Environmental Books. Seattle: University of Washington Press, 2007. EBSCO</w:t>
      </w:r>
      <w:r>
        <w:rPr>
          <w:i/>
          <w:iCs/>
        </w:rPr>
        <w:t>host</w:t>
      </w:r>
      <w:r>
        <w:t xml:space="preserve">. </w:t>
      </w:r>
    </w:p>
    <w:p w14:paraId="46F86742" w14:textId="429E1D0D" w:rsidR="005D0B3B" w:rsidRDefault="005D0B3B" w:rsidP="005D0B3B">
      <w:pPr>
        <w:spacing w:line="240" w:lineRule="auto"/>
        <w:rPr>
          <w:i/>
          <w:iCs/>
        </w:rPr>
      </w:pPr>
    </w:p>
    <w:p w14:paraId="5BC39BAF" w14:textId="77777777" w:rsidR="005D0B3B" w:rsidRDefault="005D0B3B" w:rsidP="005D0B3B">
      <w:pPr>
        <w:spacing w:line="240" w:lineRule="auto"/>
      </w:pPr>
      <w:r>
        <w:t xml:space="preserve">Cunningham, Pamela Marie. “The Meeting Place at the Bend in the River: An Examination </w:t>
      </w:r>
    </w:p>
    <w:p w14:paraId="46CD5FE7" w14:textId="2A74BEAC" w:rsidR="005D0B3B" w:rsidRPr="005D0B3B" w:rsidRDefault="005D0B3B" w:rsidP="005D0B3B">
      <w:pPr>
        <w:spacing w:line="240" w:lineRule="auto"/>
        <w:ind w:left="708"/>
      </w:pPr>
      <w:r>
        <w:t xml:space="preserve">of the Fort Edmonton Cemetery/Aboriginal Burial Ground, Edmonton, Alberta.” Thesis (M.A.), University of Alberta, 2006. </w:t>
      </w:r>
    </w:p>
    <w:p w14:paraId="207B9AAF" w14:textId="71724BA6" w:rsidR="00CE2D2E" w:rsidRDefault="00CE2D2E" w:rsidP="00CE2D2E">
      <w:pPr>
        <w:spacing w:line="240" w:lineRule="auto"/>
        <w:rPr>
          <w:i/>
          <w:iCs/>
        </w:rPr>
      </w:pPr>
    </w:p>
    <w:p w14:paraId="3FCFA623" w14:textId="77777777" w:rsidR="00371570" w:rsidRDefault="00C008F9" w:rsidP="00CE2D2E">
      <w:pPr>
        <w:spacing w:line="240" w:lineRule="auto"/>
      </w:pPr>
      <w:r w:rsidRPr="00C27E79">
        <w:t>Donald, Dwayne Trevor</w:t>
      </w:r>
      <w:r>
        <w:t xml:space="preserve">. “Edmonton Pentimento: Re-Reading History in the Case of the </w:t>
      </w:r>
    </w:p>
    <w:p w14:paraId="48CD1325" w14:textId="17DA85CB" w:rsidR="00C008F9" w:rsidRDefault="00C008F9" w:rsidP="00371570">
      <w:pPr>
        <w:spacing w:line="240" w:lineRule="auto"/>
        <w:ind w:left="708"/>
      </w:pPr>
      <w:proofErr w:type="spellStart"/>
      <w:r>
        <w:t>Papachase</w:t>
      </w:r>
      <w:proofErr w:type="spellEnd"/>
      <w:r>
        <w:t xml:space="preserve"> Cree.” </w:t>
      </w:r>
      <w:r w:rsidR="002736FD">
        <w:rPr>
          <w:i/>
          <w:iCs/>
        </w:rPr>
        <w:t xml:space="preserve">Journal of the Canadian Association for Curriculum Studies </w:t>
      </w:r>
      <w:r w:rsidR="002736FD">
        <w:t>2, no. 1 (2004): 21-</w:t>
      </w:r>
      <w:r w:rsidR="00193E69">
        <w:t xml:space="preserve">54. Google Scholar. </w:t>
      </w:r>
    </w:p>
    <w:p w14:paraId="3AE12F6F" w14:textId="5D027DF1" w:rsidR="00FE0D73" w:rsidRDefault="00FE0D73" w:rsidP="00FE0D73">
      <w:pPr>
        <w:spacing w:line="240" w:lineRule="auto"/>
      </w:pPr>
    </w:p>
    <w:p w14:paraId="08D3D9F1" w14:textId="77777777" w:rsidR="002C0F99" w:rsidRDefault="00FE0D73" w:rsidP="00FE0D73">
      <w:pPr>
        <w:spacing w:line="240" w:lineRule="auto"/>
        <w:rPr>
          <w:i/>
          <w:iCs/>
        </w:rPr>
      </w:pPr>
      <w:r>
        <w:t xml:space="preserve">Estes, Nick. </w:t>
      </w:r>
      <w:r>
        <w:rPr>
          <w:i/>
          <w:iCs/>
        </w:rPr>
        <w:t xml:space="preserve">Our </w:t>
      </w:r>
      <w:proofErr w:type="gramStart"/>
      <w:r>
        <w:rPr>
          <w:i/>
          <w:iCs/>
        </w:rPr>
        <w:t>History</w:t>
      </w:r>
      <w:proofErr w:type="gramEnd"/>
      <w:r>
        <w:rPr>
          <w:i/>
          <w:iCs/>
        </w:rPr>
        <w:t xml:space="preserve"> is the Future</w:t>
      </w:r>
      <w:r w:rsidR="00E47FF8">
        <w:rPr>
          <w:i/>
          <w:iCs/>
        </w:rPr>
        <w:t xml:space="preserve">: Standing Rock </w:t>
      </w:r>
      <w:r w:rsidR="002264FF">
        <w:rPr>
          <w:i/>
          <w:iCs/>
        </w:rPr>
        <w:t xml:space="preserve">versus the Dakota Access Pipeline, </w:t>
      </w:r>
    </w:p>
    <w:p w14:paraId="43A676CB" w14:textId="50347E08" w:rsidR="00FE0D73" w:rsidRPr="002264FF" w:rsidRDefault="002264FF" w:rsidP="002C0F99">
      <w:pPr>
        <w:spacing w:line="240" w:lineRule="auto"/>
        <w:ind w:firstLine="708"/>
      </w:pPr>
      <w:r>
        <w:rPr>
          <w:i/>
          <w:iCs/>
        </w:rPr>
        <w:t>and the Long Tradition of Indigenous Resistance.</w:t>
      </w:r>
      <w:r>
        <w:t xml:space="preserve"> </w:t>
      </w:r>
      <w:r w:rsidR="002C0F99">
        <w:t xml:space="preserve">London, Verso: 2019. </w:t>
      </w:r>
    </w:p>
    <w:p w14:paraId="5D8050B3" w14:textId="77777777" w:rsidR="00623918" w:rsidRPr="00BA2F58" w:rsidRDefault="00623918" w:rsidP="001466E8">
      <w:pPr>
        <w:spacing w:line="240" w:lineRule="auto"/>
      </w:pPr>
    </w:p>
    <w:p w14:paraId="58F16F4F" w14:textId="1285750E" w:rsidR="001466E8" w:rsidRPr="001466E8" w:rsidRDefault="001466E8" w:rsidP="001466E8">
      <w:pPr>
        <w:spacing w:line="240" w:lineRule="auto"/>
      </w:pPr>
      <w:r w:rsidRPr="00C83286">
        <w:t>Homeward Trust Edmonton</w:t>
      </w:r>
      <w:r w:rsidRPr="001466E8">
        <w:t xml:space="preserve">, Blue Quills First Nations College, &amp; IRM Research </w:t>
      </w:r>
    </w:p>
    <w:p w14:paraId="4148070F" w14:textId="4DF1EED6" w:rsidR="001466E8" w:rsidRDefault="001466E8" w:rsidP="001466E8">
      <w:pPr>
        <w:spacing w:line="240" w:lineRule="auto"/>
        <w:ind w:left="708"/>
      </w:pPr>
      <w:r w:rsidRPr="001466E8">
        <w:t xml:space="preserve">and Evaluation. </w:t>
      </w:r>
      <w:r w:rsidRPr="001466E8">
        <w:rPr>
          <w:i/>
          <w:iCs/>
        </w:rPr>
        <w:t>Research on the Intergenerational Impact of Colonialism: Aboriginal Homelessness in Edmonton – Towards a Deeper Understanding of the Indigenous Experience of Urban Homelessness. </w:t>
      </w:r>
      <w:r w:rsidRPr="001466E8">
        <w:t xml:space="preserve">Edmonton: Homeward Trust, 2015. </w:t>
      </w:r>
      <w:hyperlink r:id="rId21" w:history="1">
        <w:r w:rsidRPr="001466E8">
          <w:rPr>
            <w:rStyle w:val="Hipervnculo"/>
          </w:rPr>
          <w:t>http://www.bluequills.ca/wp-content/uploads/2017/03/BQ-Homeward-Trust-Report-Final.pdf</w:t>
        </w:r>
      </w:hyperlink>
      <w:r w:rsidRPr="001466E8">
        <w:t xml:space="preserve">. </w:t>
      </w:r>
    </w:p>
    <w:p w14:paraId="28A4B798" w14:textId="52241A69" w:rsidR="0052678E" w:rsidRDefault="0052678E" w:rsidP="0052678E">
      <w:pPr>
        <w:spacing w:line="240" w:lineRule="auto"/>
      </w:pPr>
    </w:p>
    <w:p w14:paraId="6A0EA2C0" w14:textId="246718AB" w:rsidR="0052678E" w:rsidRDefault="0052678E" w:rsidP="0052678E">
      <w:pPr>
        <w:spacing w:line="240" w:lineRule="auto"/>
      </w:pPr>
      <w:r w:rsidRPr="00ED1947">
        <w:t>Peters, Evelyn J.,</w:t>
      </w:r>
      <w:r>
        <w:t xml:space="preserve"> Mathew Stock, Adrian Werner, and Lawrie </w:t>
      </w:r>
      <w:proofErr w:type="spellStart"/>
      <w:r>
        <w:t>Barkwell</w:t>
      </w:r>
      <w:proofErr w:type="spellEnd"/>
      <w:r>
        <w:t xml:space="preserve">. “Settler </w:t>
      </w:r>
    </w:p>
    <w:p w14:paraId="4E15FFF7" w14:textId="620B4144" w:rsidR="0052678E" w:rsidRDefault="0052678E" w:rsidP="0052678E">
      <w:pPr>
        <w:spacing w:line="240" w:lineRule="auto"/>
        <w:ind w:left="708"/>
      </w:pPr>
      <w:r>
        <w:t>Colonialism and the Dispossession of the Manitoba M</w:t>
      </w:r>
      <w:r w:rsidRPr="0052678E">
        <w:t>ét</w:t>
      </w:r>
      <w:r>
        <w:t xml:space="preserve">is.” In </w:t>
      </w:r>
      <w:r>
        <w:rPr>
          <w:i/>
          <w:iCs/>
        </w:rPr>
        <w:t xml:space="preserve">Rooster Town: The History of an </w:t>
      </w:r>
      <w:proofErr w:type="spellStart"/>
      <w:r>
        <w:rPr>
          <w:i/>
          <w:iCs/>
        </w:rPr>
        <w:t>Ubran</w:t>
      </w:r>
      <w:proofErr w:type="spellEnd"/>
      <w:r>
        <w:rPr>
          <w:i/>
          <w:iCs/>
        </w:rPr>
        <w:t xml:space="preserve"> M</w:t>
      </w:r>
      <w:r w:rsidRPr="0052678E">
        <w:rPr>
          <w:i/>
          <w:iCs/>
        </w:rPr>
        <w:t>étis C</w:t>
      </w:r>
      <w:r>
        <w:rPr>
          <w:i/>
          <w:iCs/>
        </w:rPr>
        <w:t>ommunity, 1901-1961</w:t>
      </w:r>
      <w:r w:rsidR="000872C9">
        <w:t>, 1-20.</w:t>
      </w:r>
      <w:r>
        <w:rPr>
          <w:i/>
          <w:iCs/>
        </w:rPr>
        <w:t xml:space="preserve"> </w:t>
      </w:r>
      <w:r>
        <w:t xml:space="preserve">Winnipeg: University of Manitoba Press, 2018. </w:t>
      </w:r>
      <w:r w:rsidRPr="0052678E">
        <w:t xml:space="preserve">ProQuest </w:t>
      </w:r>
      <w:proofErr w:type="spellStart"/>
      <w:r w:rsidRPr="0052678E">
        <w:t>Ebook</w:t>
      </w:r>
      <w:proofErr w:type="spellEnd"/>
      <w:r w:rsidRPr="0052678E">
        <w:t xml:space="preserve"> Central.</w:t>
      </w:r>
    </w:p>
    <w:p w14:paraId="64D3C8BC" w14:textId="2BC8B7E1" w:rsidR="001B41B3" w:rsidRDefault="001B41B3" w:rsidP="001B41B3">
      <w:pPr>
        <w:spacing w:line="240" w:lineRule="auto"/>
      </w:pPr>
    </w:p>
    <w:p w14:paraId="570AFCD3" w14:textId="77777777" w:rsidR="001B41B3" w:rsidRDefault="001B41B3" w:rsidP="001B41B3">
      <w:pPr>
        <w:spacing w:line="240" w:lineRule="auto"/>
      </w:pPr>
      <w:r w:rsidRPr="003E326B">
        <w:t xml:space="preserve">Miller, </w:t>
      </w:r>
      <w:proofErr w:type="spellStart"/>
      <w:r w:rsidRPr="003E326B">
        <w:t>Jaimy</w:t>
      </w:r>
      <w:proofErr w:type="spellEnd"/>
      <w:r w:rsidRPr="003E326B">
        <w:t>.</w:t>
      </w:r>
      <w:r>
        <w:t xml:space="preserve"> “The Papaschase Band: Building Awareness and Community in the City of </w:t>
      </w:r>
    </w:p>
    <w:p w14:paraId="4E42F593" w14:textId="7FBB7F2E" w:rsidR="001B41B3" w:rsidRPr="001B41B3" w:rsidRDefault="001B41B3" w:rsidP="001B41B3">
      <w:pPr>
        <w:spacing w:line="240" w:lineRule="auto"/>
        <w:ind w:left="708"/>
      </w:pPr>
      <w:r>
        <w:t xml:space="preserve">Edmonton.” In </w:t>
      </w:r>
      <w:r>
        <w:rPr>
          <w:i/>
          <w:iCs/>
        </w:rPr>
        <w:t xml:space="preserve">Aboriginal Peoples in Canadian Cities: Transformations and Continuities, </w:t>
      </w:r>
      <w:r>
        <w:t>edited by Heather Howard and Craig Proulx, 53-68. Waterloo: Wilfrid Laurier University Press, 2011. EBSCO</w:t>
      </w:r>
      <w:r w:rsidRPr="001B41B3">
        <w:rPr>
          <w:i/>
          <w:iCs/>
        </w:rPr>
        <w:t>host</w:t>
      </w:r>
      <w:r>
        <w:t>.</w:t>
      </w:r>
    </w:p>
    <w:p w14:paraId="44D27579" w14:textId="77777777" w:rsidR="001466E8" w:rsidRDefault="001466E8" w:rsidP="007167BE">
      <w:pPr>
        <w:spacing w:line="240" w:lineRule="auto"/>
      </w:pPr>
    </w:p>
    <w:p w14:paraId="25C8DC71" w14:textId="5CCCBE64" w:rsidR="002F4C2D" w:rsidRDefault="002F4C2D" w:rsidP="007167BE">
      <w:pPr>
        <w:spacing w:line="240" w:lineRule="auto"/>
      </w:pPr>
      <w:r w:rsidRPr="007F380E">
        <w:t>Rosenberger, Robert</w:t>
      </w:r>
      <w:r>
        <w:t xml:space="preserve">. </w:t>
      </w:r>
      <w:r>
        <w:rPr>
          <w:i/>
          <w:iCs/>
        </w:rPr>
        <w:t>Ca</w:t>
      </w:r>
      <w:r w:rsidR="00041FCC">
        <w:rPr>
          <w:i/>
          <w:iCs/>
        </w:rPr>
        <w:t>llous</w:t>
      </w:r>
      <w:r>
        <w:rPr>
          <w:i/>
          <w:iCs/>
        </w:rPr>
        <w:t xml:space="preserve"> Objects: Designs Against the </w:t>
      </w:r>
      <w:r w:rsidRPr="000872C9">
        <w:rPr>
          <w:i/>
          <w:iCs/>
        </w:rPr>
        <w:t>Homeless</w:t>
      </w:r>
      <w:r w:rsidR="000872C9">
        <w:t xml:space="preserve">. </w:t>
      </w:r>
      <w:r w:rsidRPr="0052678E">
        <w:t>Minneapolis</w:t>
      </w:r>
      <w:r>
        <w:t xml:space="preserve">: </w:t>
      </w:r>
    </w:p>
    <w:p w14:paraId="52EEB5F5" w14:textId="5DD9F35A" w:rsidR="002F4C2D" w:rsidRDefault="002F4C2D" w:rsidP="002F4C2D">
      <w:pPr>
        <w:spacing w:line="240" w:lineRule="auto"/>
        <w:ind w:firstLine="708"/>
      </w:pPr>
      <w:r>
        <w:t>University of Minnesota Press, 2017.</w:t>
      </w:r>
      <w:r w:rsidR="0052678E">
        <w:t xml:space="preserve"> </w:t>
      </w:r>
    </w:p>
    <w:p w14:paraId="3A7710F9" w14:textId="04D3016B" w:rsidR="00447812" w:rsidRDefault="00447812" w:rsidP="00447812">
      <w:pPr>
        <w:spacing w:line="240" w:lineRule="auto"/>
      </w:pPr>
    </w:p>
    <w:p w14:paraId="10362E1B" w14:textId="77777777" w:rsidR="00447812" w:rsidRDefault="00447812" w:rsidP="00447812">
      <w:pPr>
        <w:spacing w:line="240" w:lineRule="auto"/>
      </w:pPr>
      <w:r w:rsidRPr="00562AEA">
        <w:t>Runnels, Vivien</w:t>
      </w:r>
      <w:r w:rsidRPr="00447812">
        <w:t xml:space="preserve">, Elizabeth Hay, Elyse </w:t>
      </w:r>
      <w:proofErr w:type="gramStart"/>
      <w:r w:rsidRPr="00447812">
        <w:t>Sevigny</w:t>
      </w:r>
      <w:proofErr w:type="gramEnd"/>
      <w:r w:rsidRPr="00447812">
        <w:t xml:space="preserve"> an</w:t>
      </w:r>
      <w:r>
        <w:t xml:space="preserve">d </w:t>
      </w:r>
      <w:proofErr w:type="spellStart"/>
      <w:r>
        <w:t>Paddi</w:t>
      </w:r>
      <w:proofErr w:type="spellEnd"/>
      <w:r>
        <w:t xml:space="preserve"> O´Hara. “The Ethics of </w:t>
      </w:r>
    </w:p>
    <w:p w14:paraId="2DEA1AFF" w14:textId="725E8C1E" w:rsidR="00447812" w:rsidRPr="00447812" w:rsidRDefault="00447812" w:rsidP="00447812">
      <w:pPr>
        <w:spacing w:line="240" w:lineRule="auto"/>
        <w:ind w:left="708"/>
      </w:pPr>
      <w:r>
        <w:t xml:space="preserve">Conducting Community-Engaged Homelessness Research.” </w:t>
      </w:r>
      <w:r>
        <w:rPr>
          <w:i/>
          <w:iCs/>
        </w:rPr>
        <w:t>Journal of Academic Ethics</w:t>
      </w:r>
      <w:r>
        <w:t xml:space="preserve"> 7 (2009): 57-68. </w:t>
      </w:r>
      <w:hyperlink r:id="rId22" w:history="1">
        <w:r w:rsidR="00583EE3" w:rsidRPr="002A51E6">
          <w:rPr>
            <w:rStyle w:val="Hipervnculo"/>
          </w:rPr>
          <w:t>https://doi-org.login.ezproxy.library.ualberta.ca/10. 1007/s10805-009-9083-2</w:t>
        </w:r>
      </w:hyperlink>
      <w:r>
        <w:t xml:space="preserve">. </w:t>
      </w:r>
    </w:p>
    <w:p w14:paraId="550D4151" w14:textId="788FAF64" w:rsidR="007D1C2C" w:rsidRPr="00447812" w:rsidRDefault="007D1C2C" w:rsidP="007D1C2C">
      <w:pPr>
        <w:spacing w:line="240" w:lineRule="auto"/>
      </w:pPr>
    </w:p>
    <w:p w14:paraId="2EB25AC8" w14:textId="77777777" w:rsidR="007D1C2C" w:rsidRDefault="007D1C2C" w:rsidP="007D1C2C">
      <w:pPr>
        <w:spacing w:line="240" w:lineRule="auto"/>
      </w:pPr>
      <w:bookmarkStart w:id="0" w:name="_Hlk58687387"/>
      <w:r w:rsidRPr="00EE7C50">
        <w:t>Sangster, Joan.</w:t>
      </w:r>
      <w:r>
        <w:t xml:space="preserve"> “Criminalizing the Colonized: Ontario Native Women Confront the </w:t>
      </w:r>
    </w:p>
    <w:p w14:paraId="3B488FE8" w14:textId="6C7A6645" w:rsidR="007D1C2C" w:rsidRPr="007D1C2C" w:rsidRDefault="007D1C2C" w:rsidP="007D1C2C">
      <w:pPr>
        <w:spacing w:line="240" w:lineRule="auto"/>
        <w:ind w:left="708"/>
      </w:pPr>
      <w:r>
        <w:t xml:space="preserve">Criminal Justice System, 1920-60.” </w:t>
      </w:r>
      <w:r>
        <w:rPr>
          <w:i/>
          <w:iCs/>
        </w:rPr>
        <w:t>The Canadian Historical Review</w:t>
      </w:r>
      <w:r>
        <w:t xml:space="preserve"> 80, no. 1 (1999): 32-60. </w:t>
      </w:r>
      <w:hyperlink r:id="rId23" w:history="1">
        <w:r w:rsidRPr="005D4E38">
          <w:rPr>
            <w:rStyle w:val="Hipervnculo"/>
          </w:rPr>
          <w:t>https://muse.jhu.edu/article/590470</w:t>
        </w:r>
      </w:hyperlink>
      <w:r>
        <w:t xml:space="preserve">. </w:t>
      </w:r>
    </w:p>
    <w:bookmarkEnd w:id="0"/>
    <w:p w14:paraId="7BA8A0EB" w14:textId="0F3264C4" w:rsidR="00636ECA" w:rsidRDefault="00636ECA" w:rsidP="00636ECA">
      <w:pPr>
        <w:spacing w:line="240" w:lineRule="auto"/>
      </w:pPr>
    </w:p>
    <w:p w14:paraId="67201E26" w14:textId="77777777" w:rsidR="00636ECA" w:rsidRDefault="00636ECA" w:rsidP="00636ECA">
      <w:pPr>
        <w:spacing w:line="240" w:lineRule="auto"/>
        <w:rPr>
          <w:i/>
          <w:iCs/>
        </w:rPr>
      </w:pPr>
      <w:r w:rsidRPr="000462BB">
        <w:t>Simpson, Audra.</w:t>
      </w:r>
      <w:r>
        <w:t xml:space="preserve"> “Ethnographic Refusal: Anthropological Need.” In </w:t>
      </w:r>
      <w:r>
        <w:rPr>
          <w:i/>
          <w:iCs/>
        </w:rPr>
        <w:t xml:space="preserve">Mohawk Interruptus: </w:t>
      </w:r>
    </w:p>
    <w:p w14:paraId="1B505D64" w14:textId="0388392D" w:rsidR="00636ECA" w:rsidRDefault="00636ECA" w:rsidP="00636ECA">
      <w:pPr>
        <w:spacing w:line="240" w:lineRule="auto"/>
        <w:ind w:left="708"/>
      </w:pPr>
      <w:r>
        <w:rPr>
          <w:i/>
          <w:iCs/>
        </w:rPr>
        <w:t>Political Life Across the Borders of Settler States</w:t>
      </w:r>
      <w:r>
        <w:t>, 95-114. Durham: Duke University Press, 2014.</w:t>
      </w:r>
    </w:p>
    <w:p w14:paraId="1C0635BD" w14:textId="35484497" w:rsidR="00242689" w:rsidRDefault="00242689" w:rsidP="00242689">
      <w:pPr>
        <w:spacing w:line="240" w:lineRule="auto"/>
        <w:rPr>
          <w:i/>
          <w:iCs/>
        </w:rPr>
      </w:pPr>
    </w:p>
    <w:p w14:paraId="64BD2ED5" w14:textId="77777777" w:rsidR="00242689" w:rsidRDefault="00242689" w:rsidP="00242689">
      <w:pPr>
        <w:spacing w:line="240" w:lineRule="auto"/>
      </w:pPr>
      <w:bookmarkStart w:id="1" w:name="_Hlk58679443"/>
      <w:proofErr w:type="spellStart"/>
      <w:r w:rsidRPr="007F380E">
        <w:t>Tomiak</w:t>
      </w:r>
      <w:proofErr w:type="spellEnd"/>
      <w:r w:rsidRPr="007F380E">
        <w:t>, Julie</w:t>
      </w:r>
      <w:r>
        <w:t xml:space="preserve">, Tyler McCreary, David </w:t>
      </w:r>
      <w:proofErr w:type="spellStart"/>
      <w:r>
        <w:t>Hugill</w:t>
      </w:r>
      <w:proofErr w:type="spellEnd"/>
      <w:r>
        <w:t xml:space="preserve">, Robert Henry and Heather </w:t>
      </w:r>
      <w:proofErr w:type="spellStart"/>
      <w:r>
        <w:t>Dorries</w:t>
      </w:r>
      <w:proofErr w:type="spellEnd"/>
      <w:r>
        <w:t xml:space="preserve">, editors. </w:t>
      </w:r>
    </w:p>
    <w:p w14:paraId="307C1FC9" w14:textId="46953273" w:rsidR="00242689" w:rsidRPr="00242689" w:rsidRDefault="00242689" w:rsidP="00242689">
      <w:pPr>
        <w:spacing w:line="240" w:lineRule="auto"/>
        <w:ind w:left="708"/>
      </w:pPr>
      <w:r>
        <w:t xml:space="preserve">“Introduction: Settler City Limits.” In </w:t>
      </w:r>
      <w:r>
        <w:rPr>
          <w:i/>
          <w:iCs/>
        </w:rPr>
        <w:t>Settler City Limits: Indigenous Resurgence and Colonial Violence in the Urban Prairie West</w:t>
      </w:r>
      <w:r>
        <w:t xml:space="preserve">, 1-27. Manitoba: University of Manitoba Press, 2019. Google Scholar. </w:t>
      </w:r>
    </w:p>
    <w:bookmarkEnd w:id="1"/>
    <w:p w14:paraId="2371D0B0" w14:textId="605FBAA4" w:rsidR="002F4C2D" w:rsidRDefault="002F4C2D" w:rsidP="002F4C2D">
      <w:pPr>
        <w:spacing w:line="240" w:lineRule="auto"/>
      </w:pPr>
    </w:p>
    <w:p w14:paraId="2543EB65" w14:textId="77777777" w:rsidR="001466E8" w:rsidRDefault="002F4C2D" w:rsidP="001466E8">
      <w:pPr>
        <w:spacing w:line="240" w:lineRule="auto"/>
      </w:pPr>
      <w:r w:rsidRPr="004E6A43">
        <w:t>Thistle, Jesse A</w:t>
      </w:r>
      <w:r>
        <w:t xml:space="preserve">. </w:t>
      </w:r>
      <w:r w:rsidR="001466E8">
        <w:rPr>
          <w:i/>
          <w:iCs/>
        </w:rPr>
        <w:t xml:space="preserve">Indigenous Definition of Homelessness in </w:t>
      </w:r>
      <w:r>
        <w:rPr>
          <w:i/>
          <w:iCs/>
        </w:rPr>
        <w:t>Canad</w:t>
      </w:r>
      <w:r w:rsidR="001466E8">
        <w:rPr>
          <w:i/>
          <w:iCs/>
        </w:rPr>
        <w:t xml:space="preserve">a. </w:t>
      </w:r>
      <w:r w:rsidR="001466E8">
        <w:t xml:space="preserve">Toronto: Canadian </w:t>
      </w:r>
    </w:p>
    <w:p w14:paraId="4DB8A1D8" w14:textId="500769BD" w:rsidR="002F4C2D" w:rsidRDefault="001466E8" w:rsidP="00A1584B">
      <w:pPr>
        <w:spacing w:line="240" w:lineRule="auto"/>
        <w:ind w:left="708"/>
      </w:pPr>
      <w:r>
        <w:t xml:space="preserve">Observatory on Homelessness Press, 2017. </w:t>
      </w:r>
      <w:hyperlink r:id="rId24" w:history="1">
        <w:r w:rsidR="0052678E" w:rsidRPr="002E4775">
          <w:rPr>
            <w:rStyle w:val="Hipervnculo"/>
          </w:rPr>
          <w:t>https://www.homelesshub.ca/Indigenous Homelessness</w:t>
        </w:r>
      </w:hyperlink>
      <w:r w:rsidR="002F4C2D">
        <w:t xml:space="preserve">. </w:t>
      </w:r>
    </w:p>
    <w:p w14:paraId="47705219" w14:textId="3B0A6C23" w:rsidR="0021158C" w:rsidRDefault="0021158C" w:rsidP="0021158C">
      <w:pPr>
        <w:spacing w:line="240" w:lineRule="auto"/>
      </w:pPr>
    </w:p>
    <w:p w14:paraId="41ED54B9" w14:textId="77777777" w:rsidR="0021158C" w:rsidRPr="0021158C" w:rsidRDefault="0021158C" w:rsidP="0021158C">
      <w:pPr>
        <w:spacing w:line="240" w:lineRule="auto"/>
      </w:pPr>
      <w:r w:rsidRPr="0021158C">
        <w:t xml:space="preserve">Vowel, Chelsea. “Check the Tag on That ‘Indian’ Story: How to Find Authentic Indigenous </w:t>
      </w:r>
    </w:p>
    <w:p w14:paraId="48D81326" w14:textId="7FB8840D" w:rsidR="0021158C" w:rsidRPr="0021158C" w:rsidRDefault="0021158C" w:rsidP="0021158C">
      <w:pPr>
        <w:spacing w:line="240" w:lineRule="auto"/>
        <w:ind w:left="708"/>
        <w:rPr>
          <w:i/>
          <w:iCs/>
        </w:rPr>
      </w:pPr>
      <w:r w:rsidRPr="0021158C">
        <w:t xml:space="preserve">Stories.” In </w:t>
      </w:r>
      <w:r w:rsidRPr="0021158C">
        <w:rPr>
          <w:i/>
          <w:iCs/>
        </w:rPr>
        <w:t>Indigenous Writes: A Guide to First Nations, Métis, and Inuit Issues in Canada</w:t>
      </w:r>
      <w:r w:rsidRPr="0021158C">
        <w:t>, 51-54. Winnipeg: Highwater Press, 2016. EBSCO</w:t>
      </w:r>
      <w:r w:rsidRPr="0021158C">
        <w:rPr>
          <w:i/>
          <w:iCs/>
        </w:rPr>
        <w:t xml:space="preserve">host. </w:t>
      </w:r>
    </w:p>
    <w:p w14:paraId="19E35980" w14:textId="77777777" w:rsidR="0021158C" w:rsidRPr="002F4C2D" w:rsidRDefault="0021158C" w:rsidP="0021158C">
      <w:pPr>
        <w:spacing w:line="240" w:lineRule="auto"/>
      </w:pPr>
    </w:p>
    <w:sectPr w:rsidR="0021158C" w:rsidRPr="002F4C2D" w:rsidSect="007167BE">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6FFD6" w14:textId="77777777" w:rsidR="00426980" w:rsidRDefault="00426980" w:rsidP="007167BE">
      <w:pPr>
        <w:spacing w:line="240" w:lineRule="auto"/>
      </w:pPr>
      <w:r>
        <w:separator/>
      </w:r>
    </w:p>
  </w:endnote>
  <w:endnote w:type="continuationSeparator" w:id="0">
    <w:p w14:paraId="3529FE30" w14:textId="77777777" w:rsidR="00426980" w:rsidRDefault="00426980" w:rsidP="00716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A95A" w14:textId="77777777" w:rsidR="00426980" w:rsidRDefault="00426980" w:rsidP="007167BE">
      <w:pPr>
        <w:spacing w:line="240" w:lineRule="auto"/>
      </w:pPr>
      <w:r>
        <w:separator/>
      </w:r>
    </w:p>
  </w:footnote>
  <w:footnote w:type="continuationSeparator" w:id="0">
    <w:p w14:paraId="64A34FA0" w14:textId="77777777" w:rsidR="00426980" w:rsidRDefault="00426980" w:rsidP="007167BE">
      <w:pPr>
        <w:spacing w:line="240" w:lineRule="auto"/>
      </w:pPr>
      <w:r>
        <w:continuationSeparator/>
      </w:r>
    </w:p>
  </w:footnote>
  <w:footnote w:id="1">
    <w:p w14:paraId="150A7A58" w14:textId="6B1391FC" w:rsidR="00557A7C" w:rsidRPr="00EC3411" w:rsidRDefault="00557A7C">
      <w:pPr>
        <w:pStyle w:val="Textonotapie"/>
      </w:pPr>
      <w:r>
        <w:rPr>
          <w:rStyle w:val="Refdenotaalpie"/>
        </w:rPr>
        <w:footnoteRef/>
      </w:r>
      <w:r>
        <w:t xml:space="preserve"> “About,” </w:t>
      </w:r>
      <w:r>
        <w:rPr>
          <w:i/>
          <w:iCs/>
        </w:rPr>
        <w:t>Pekiwewin</w:t>
      </w:r>
      <w:r>
        <w:t xml:space="preserve">, accessed Dec. 12, 2020, </w:t>
      </w:r>
      <w:hyperlink r:id="rId1" w:history="1">
        <w:r w:rsidRPr="0055564F">
          <w:rPr>
            <w:rStyle w:val="Hipervnculo"/>
          </w:rPr>
          <w:t>https://pekiwewin.com/about</w:t>
        </w:r>
      </w:hyperlink>
      <w:r>
        <w:t xml:space="preserve">. </w:t>
      </w:r>
      <w:r w:rsidR="004707C9">
        <w:t>E</w:t>
      </w:r>
      <w:r>
        <w:t xml:space="preserve">xtensive quotations are looked down </w:t>
      </w:r>
      <w:r w:rsidR="004707C9">
        <w:t>on in historiographic research</w:t>
      </w:r>
      <w:r w:rsidR="00FD60BF">
        <w:t>. H</w:t>
      </w:r>
      <w:r w:rsidR="004707C9">
        <w:t>owever</w:t>
      </w:r>
      <w:r>
        <w:t xml:space="preserve">, </w:t>
      </w:r>
      <w:r w:rsidR="00C35C7C">
        <w:t>ethical research praxis</w:t>
      </w:r>
      <w:r>
        <w:t xml:space="preserve"> allow</w:t>
      </w:r>
      <w:r w:rsidR="00C35C7C">
        <w:t>s</w:t>
      </w:r>
      <w:r>
        <w:t xml:space="preserve"> persons that have been </w:t>
      </w:r>
      <w:r w:rsidR="00C35C7C">
        <w:t>marginalized</w:t>
      </w:r>
      <w:r>
        <w:t xml:space="preserve"> to speak for themselves. </w:t>
      </w:r>
    </w:p>
  </w:footnote>
  <w:footnote w:id="2">
    <w:p w14:paraId="6885F3FC" w14:textId="750DFBF3" w:rsidR="00557A7C" w:rsidRDefault="00557A7C">
      <w:pPr>
        <w:pStyle w:val="Textonotapie"/>
      </w:pPr>
      <w:r>
        <w:rPr>
          <w:rStyle w:val="Refdenotaalpie"/>
        </w:rPr>
        <w:footnoteRef/>
      </w:r>
      <w:r>
        <w:t xml:space="preserve"> See </w:t>
      </w:r>
      <w:r w:rsidRPr="005D0B3B">
        <w:t>Edmonton Maps Heritage</w:t>
      </w:r>
      <w:r>
        <w:t>,</w:t>
      </w:r>
      <w:r w:rsidRPr="005D0B3B">
        <w:t xml:space="preserve"> “Rossdale Burial Site</w:t>
      </w:r>
      <w:r>
        <w:t>,</w:t>
      </w:r>
      <w:r w:rsidRPr="005D0B3B">
        <w:t xml:space="preserve">” </w:t>
      </w:r>
      <w:r>
        <w:t>a</w:t>
      </w:r>
      <w:r w:rsidRPr="005D0B3B">
        <w:t>ccessed Oct. 11, 2020</w:t>
      </w:r>
      <w:r>
        <w:t xml:space="preserve">, </w:t>
      </w:r>
      <w:r>
        <w:rPr>
          <w:rStyle w:val="Hipervnculo"/>
        </w:rPr>
        <w:t xml:space="preserve"> </w:t>
      </w:r>
      <w:hyperlink w:history="1">
        <w:r w:rsidRPr="005D0B3B">
          <w:rPr>
            <w:rStyle w:val="Hipervnculo"/>
          </w:rPr>
          <w:t>https://www.edmontonmaps</w:t>
        </w:r>
        <w:r w:rsidRPr="0055564F">
          <w:rPr>
            <w:rStyle w:val="Hipervnculo"/>
          </w:rPr>
          <w:t xml:space="preserve"> </w:t>
        </w:r>
        <w:r w:rsidRPr="005D0B3B">
          <w:rPr>
            <w:rStyle w:val="Hipervnculo"/>
          </w:rPr>
          <w:t>heritage.ca/location/rossdale-burial-site/</w:t>
        </w:r>
      </w:hyperlink>
      <w:r>
        <w:t xml:space="preserve"> and </w:t>
      </w:r>
      <w:r w:rsidRPr="0050553D">
        <w:t>Travel Alberta: Canada</w:t>
      </w:r>
      <w:r>
        <w:t xml:space="preserve">, </w:t>
      </w:r>
      <w:r w:rsidRPr="0050553D">
        <w:t>“Rossdale Burial Site</w:t>
      </w:r>
      <w:r>
        <w:t>,</w:t>
      </w:r>
      <w:r w:rsidRPr="0050553D">
        <w:t xml:space="preserve">” </w:t>
      </w:r>
      <w:r>
        <w:t>a</w:t>
      </w:r>
      <w:r w:rsidRPr="0050553D">
        <w:t>ccessed Oct. 11, 2020</w:t>
      </w:r>
      <w:r>
        <w:t xml:space="preserve">, </w:t>
      </w:r>
      <w:hyperlink r:id="rId2" w:history="1">
        <w:r w:rsidRPr="0050553D">
          <w:rPr>
            <w:rStyle w:val="Hipervnculo"/>
          </w:rPr>
          <w:t>https://www.travelalberta.com/ca/listings/rossdale-burial-site-6163/</w:t>
        </w:r>
      </w:hyperlink>
      <w:r w:rsidRPr="0050553D">
        <w:t xml:space="preserve">. </w:t>
      </w:r>
    </w:p>
  </w:footnote>
  <w:footnote w:id="3">
    <w:p w14:paraId="140E84E4" w14:textId="59AD7474" w:rsidR="00557A7C" w:rsidRDefault="00557A7C">
      <w:pPr>
        <w:pStyle w:val="Textonotapie"/>
      </w:pPr>
      <w:r>
        <w:rPr>
          <w:rStyle w:val="Refdenotaalpie"/>
        </w:rPr>
        <w:footnoteRef/>
      </w:r>
      <w:r>
        <w:t xml:space="preserve"> Pamela Marie </w:t>
      </w:r>
      <w:r w:rsidRPr="005D0B3B">
        <w:t>Cunningham,</w:t>
      </w:r>
      <w:r>
        <w:t xml:space="preserve"> </w:t>
      </w:r>
      <w:r w:rsidRPr="005D0B3B">
        <w:t>“The Meeting Place at the Bend in the River: An Examination of the Fort Edmonton Cemetery/Aboriginal Burial Ground, Edmonton, Alberta</w:t>
      </w:r>
      <w:r>
        <w:t>,</w:t>
      </w:r>
      <w:r w:rsidRPr="005D0B3B">
        <w:t xml:space="preserve">” </w:t>
      </w:r>
      <w:r>
        <w:t>t</w:t>
      </w:r>
      <w:r w:rsidRPr="005D0B3B">
        <w:t xml:space="preserve">hesis (M.A.), </w:t>
      </w:r>
      <w:r>
        <w:t>(</w:t>
      </w:r>
      <w:r w:rsidRPr="005D0B3B">
        <w:t>University of Alberta, 2006</w:t>
      </w:r>
      <w:r>
        <w:t xml:space="preserve">): 17. </w:t>
      </w:r>
      <w:r w:rsidRPr="005D0B3B">
        <w:t xml:space="preserve"> </w:t>
      </w:r>
    </w:p>
  </w:footnote>
  <w:footnote w:id="4">
    <w:p w14:paraId="06FFF18E" w14:textId="33E15E0F" w:rsidR="00557A7C" w:rsidRDefault="00557A7C" w:rsidP="003B6D9A">
      <w:pPr>
        <w:pStyle w:val="Textonotapie"/>
      </w:pPr>
      <w:r>
        <w:rPr>
          <w:rStyle w:val="Refdenotaalpie"/>
        </w:rPr>
        <w:footnoteRef/>
      </w:r>
      <w:r>
        <w:t xml:space="preserve"> Cunningham, 24. Cunningham notes that it was only </w:t>
      </w:r>
      <w:r w:rsidR="00E73B8A">
        <w:t>in the</w:t>
      </w:r>
      <w:r>
        <w:t xml:space="preserve"> year 2004</w:t>
      </w:r>
      <w:r w:rsidR="00E73B8A">
        <w:t xml:space="preserve"> that</w:t>
      </w:r>
      <w:r>
        <w:t xml:space="preserve"> the City of Edmonton</w:t>
      </w:r>
      <w:r w:rsidR="003344E3">
        <w:t xml:space="preserve"> officially</w:t>
      </w:r>
      <w:r>
        <w:t xml:space="preserve"> recognized the existence and significance of this </w:t>
      </w:r>
      <w:r w:rsidR="003344E3">
        <w:t xml:space="preserve">burial </w:t>
      </w:r>
      <w:r>
        <w:t xml:space="preserve">site in the centre of the urban space. See also </w:t>
      </w:r>
      <w:r w:rsidRPr="003B6D9A">
        <w:t>EPCOR</w:t>
      </w:r>
      <w:r>
        <w:t>,</w:t>
      </w:r>
      <w:r w:rsidRPr="003B6D9A">
        <w:t xml:space="preserve"> “Relationships with Indigenous Peoples</w:t>
      </w:r>
      <w:r>
        <w:t>,</w:t>
      </w:r>
      <w:r w:rsidRPr="003B6D9A">
        <w:t xml:space="preserve">” </w:t>
      </w:r>
      <w:r>
        <w:t>a</w:t>
      </w:r>
      <w:r w:rsidRPr="003B6D9A">
        <w:t>ccessed Oct. 11, 2020</w:t>
      </w:r>
      <w:r>
        <w:t xml:space="preserve">, </w:t>
      </w:r>
      <w:hyperlink r:id="rId3" w:history="1">
        <w:r w:rsidR="00426C15" w:rsidRPr="007C2193">
          <w:rPr>
            <w:rStyle w:val="Hipervnculo"/>
          </w:rPr>
          <w:t>https://www.epcor.com/ products-services/infrastructure/construction-projects/rossdale-site/Pages/rossdale-indigenous-peoples.aspx</w:t>
        </w:r>
      </w:hyperlink>
      <w:r w:rsidRPr="003B6D9A">
        <w:t>.</w:t>
      </w:r>
    </w:p>
  </w:footnote>
  <w:footnote w:id="5">
    <w:p w14:paraId="22481FF7" w14:textId="766E76D6" w:rsidR="00557A7C" w:rsidRPr="007D5091" w:rsidRDefault="00557A7C">
      <w:pPr>
        <w:pStyle w:val="Textonotapie"/>
        <w:rPr>
          <w:i/>
          <w:iCs/>
        </w:rPr>
      </w:pPr>
      <w:r>
        <w:rPr>
          <w:rStyle w:val="Refdenotaalpie"/>
        </w:rPr>
        <w:footnoteRef/>
      </w:r>
      <w:r>
        <w:t xml:space="preserve"> </w:t>
      </w:r>
      <w:r w:rsidRPr="00843059">
        <w:t>Commonwealth Historic Resource Management Limited</w:t>
      </w:r>
      <w:r>
        <w:t>,</w:t>
      </w:r>
      <w:r w:rsidRPr="00843059">
        <w:t xml:space="preserve"> </w:t>
      </w:r>
      <w:r w:rsidRPr="00843059">
        <w:rPr>
          <w:i/>
          <w:iCs/>
        </w:rPr>
        <w:t>Rossdale Historical Land Use Study</w:t>
      </w:r>
      <w:r>
        <w:t>,</w:t>
      </w:r>
      <w:r w:rsidRPr="00843059">
        <w:t xml:space="preserve"> </w:t>
      </w:r>
      <w:r>
        <w:t>(</w:t>
      </w:r>
      <w:r w:rsidRPr="00843059">
        <w:t>Feb. 2004</w:t>
      </w:r>
      <w:r>
        <w:t>): 150</w:t>
      </w:r>
      <w:r w:rsidR="007D5091">
        <w:t>,</w:t>
      </w:r>
      <w:r w:rsidRPr="00843059">
        <w:t xml:space="preserve"> </w:t>
      </w:r>
      <w:hyperlink r:id="rId4" w:history="1">
        <w:r w:rsidR="00426C15" w:rsidRPr="007C2193">
          <w:rPr>
            <w:rStyle w:val="Hipervnculo"/>
          </w:rPr>
          <w:t>https://www.edmonton.ca/documents/PDF/Rossdale_Historical _Land_Use_Study_ Feb_2004.pdf</w:t>
        </w:r>
      </w:hyperlink>
      <w:r>
        <w:t xml:space="preserve">. The </w:t>
      </w:r>
      <w:r w:rsidR="007D5091">
        <w:t xml:space="preserve">part of the </w:t>
      </w:r>
      <w:r>
        <w:t xml:space="preserve">City of Edmonton website that references the Rossdale Burial Grounds reads </w:t>
      </w:r>
      <w:r w:rsidR="003344E3">
        <w:t xml:space="preserve">that </w:t>
      </w:r>
      <w:r>
        <w:t xml:space="preserve">the space “is significant not only as a once </w:t>
      </w:r>
      <w:r w:rsidRPr="003344E3">
        <w:rPr>
          <w:i/>
          <w:iCs/>
        </w:rPr>
        <w:t>forgotten</w:t>
      </w:r>
      <w:r>
        <w:t xml:space="preserve">, desecrated First Nations Burial Site,” </w:t>
      </w:r>
      <w:r w:rsidR="00D67547">
        <w:t xml:space="preserve">which fails </w:t>
      </w:r>
      <w:r>
        <w:t xml:space="preserve">to </w:t>
      </w:r>
      <w:r w:rsidR="00D67547">
        <w:t>demonstrate</w:t>
      </w:r>
      <w:r>
        <w:t xml:space="preserve"> the </w:t>
      </w:r>
      <w:proofErr w:type="gramStart"/>
      <w:r>
        <w:t>City</w:t>
      </w:r>
      <w:proofErr w:type="gramEnd"/>
      <w:r>
        <w:t xml:space="preserve"> itself is </w:t>
      </w:r>
      <w:r w:rsidR="007D5091">
        <w:t>accountable</w:t>
      </w:r>
      <w:r>
        <w:t xml:space="preserve"> for the ongoing desecration of human remains at the s</w:t>
      </w:r>
      <w:r w:rsidR="007D5091">
        <w:t>ite</w:t>
      </w:r>
      <w:r>
        <w:t xml:space="preserve"> over the course of the 20</w:t>
      </w:r>
      <w:r w:rsidRPr="00C83286">
        <w:rPr>
          <w:vertAlign w:val="superscript"/>
        </w:rPr>
        <w:t>th</w:t>
      </w:r>
      <w:r>
        <w:t xml:space="preserve"> century</w:t>
      </w:r>
      <w:r w:rsidR="007D5091">
        <w:t>. S</w:t>
      </w:r>
      <w:r>
        <w:t xml:space="preserve">ee Edmonton, </w:t>
      </w:r>
      <w:r w:rsidRPr="00C83286">
        <w:t>“Sacred Spaces: Rossdale Burial Ground, Papaschase First Nation History, Métis Land History</w:t>
      </w:r>
      <w:r>
        <w:t>,</w:t>
      </w:r>
      <w:r w:rsidRPr="00C83286">
        <w:t xml:space="preserve">” </w:t>
      </w:r>
      <w:r>
        <w:t>accessed</w:t>
      </w:r>
      <w:r w:rsidRPr="00C83286">
        <w:t xml:space="preserve"> Oct. 11, 2020</w:t>
      </w:r>
      <w:r>
        <w:t>,</w:t>
      </w:r>
      <w:r w:rsidRPr="00C83286">
        <w:t xml:space="preserve"> </w:t>
      </w:r>
      <w:hyperlink w:history="1">
        <w:r w:rsidR="00A02A74" w:rsidRPr="00331A59">
          <w:rPr>
            <w:rStyle w:val="Hipervnculo"/>
          </w:rPr>
          <w:t>https://www.edmonton.ca /city_government /edmonton_archives/ sacred-spaces.aspx#stack134492</w:t>
        </w:r>
      </w:hyperlink>
      <w:r w:rsidRPr="00C83286">
        <w:t xml:space="preserve">. </w:t>
      </w:r>
      <w:r w:rsidR="003344E3">
        <w:t>Emphasis mine.</w:t>
      </w:r>
    </w:p>
  </w:footnote>
  <w:footnote w:id="6">
    <w:p w14:paraId="27627C73" w14:textId="03FD7657" w:rsidR="00B42759" w:rsidRDefault="00B42759">
      <w:pPr>
        <w:pStyle w:val="Textonotapie"/>
      </w:pPr>
      <w:r>
        <w:rPr>
          <w:rStyle w:val="Refdenotaalpie"/>
        </w:rPr>
        <w:footnoteRef/>
      </w:r>
      <w:r>
        <w:t xml:space="preserve"> </w:t>
      </w:r>
      <w:r w:rsidRPr="00B42759">
        <w:t>Province of Alberta, Traditional Burial Grounds and Fort Edmonton Cemetery, 2005, designation plaque, Rossdale Flats, Edmonton, AB, photo by author.</w:t>
      </w:r>
    </w:p>
  </w:footnote>
  <w:footnote w:id="7">
    <w:p w14:paraId="55EC3A4E" w14:textId="6C2A3FDF" w:rsidR="00557A7C" w:rsidRDefault="00557A7C">
      <w:pPr>
        <w:pStyle w:val="Textonotapie"/>
      </w:pPr>
      <w:r>
        <w:rPr>
          <w:rStyle w:val="Refdenotaalpie"/>
        </w:rPr>
        <w:footnoteRef/>
      </w:r>
      <w:r>
        <w:t xml:space="preserve"> </w:t>
      </w:r>
      <w:proofErr w:type="spellStart"/>
      <w:r>
        <w:t>Jaimy</w:t>
      </w:r>
      <w:proofErr w:type="spellEnd"/>
      <w:r>
        <w:t xml:space="preserve"> </w:t>
      </w:r>
      <w:r w:rsidRPr="003E326B">
        <w:t>Miller, “The Papaschase Band: Building Awareness and Community in the City of Edmonton</w:t>
      </w:r>
      <w:r>
        <w:t>,</w:t>
      </w:r>
      <w:r w:rsidRPr="003E326B">
        <w:t xml:space="preserve">” </w:t>
      </w:r>
      <w:r>
        <w:t>i</w:t>
      </w:r>
      <w:r w:rsidRPr="003E326B">
        <w:t xml:space="preserve">n </w:t>
      </w:r>
      <w:r w:rsidRPr="003E326B">
        <w:rPr>
          <w:i/>
          <w:iCs/>
        </w:rPr>
        <w:t xml:space="preserve">Aboriginal Peoples in Canadian Cities: Transformations and Continuities, </w:t>
      </w:r>
      <w:r w:rsidRPr="003E326B">
        <w:t>ed</w:t>
      </w:r>
      <w:r>
        <w:t>.</w:t>
      </w:r>
      <w:r w:rsidRPr="003E326B">
        <w:t xml:space="preserve"> Heather Howard and Craig Proulx, </w:t>
      </w:r>
      <w:r>
        <w:t>(</w:t>
      </w:r>
      <w:r w:rsidRPr="003E326B">
        <w:t>Waterloo: Wilfrid Laurier University Press, 2011</w:t>
      </w:r>
      <w:r>
        <w:t xml:space="preserve">): 59. </w:t>
      </w:r>
    </w:p>
  </w:footnote>
  <w:footnote w:id="8">
    <w:p w14:paraId="1D591321" w14:textId="399B184B" w:rsidR="00557A7C" w:rsidRDefault="00557A7C">
      <w:pPr>
        <w:pStyle w:val="Textonotapie"/>
      </w:pPr>
      <w:r>
        <w:rPr>
          <w:rStyle w:val="Refdenotaalpie"/>
        </w:rPr>
        <w:footnoteRef/>
      </w:r>
      <w:r>
        <w:t xml:space="preserve"> Cunningham, 76. </w:t>
      </w:r>
    </w:p>
  </w:footnote>
  <w:footnote w:id="9">
    <w:p w14:paraId="2D794064" w14:textId="416FF532" w:rsidR="00557A7C" w:rsidRDefault="00557A7C">
      <w:pPr>
        <w:pStyle w:val="Textonotapie"/>
      </w:pPr>
      <w:r>
        <w:rPr>
          <w:rStyle w:val="Refdenotaalpie"/>
        </w:rPr>
        <w:footnoteRef/>
      </w:r>
      <w:r>
        <w:t xml:space="preserve"> Commonwealth, 180. </w:t>
      </w:r>
    </w:p>
  </w:footnote>
  <w:footnote w:id="10">
    <w:p w14:paraId="666C7A85" w14:textId="3AFDB048" w:rsidR="00557A7C" w:rsidRDefault="00557A7C">
      <w:pPr>
        <w:pStyle w:val="Textonotapie"/>
      </w:pPr>
      <w:r>
        <w:rPr>
          <w:rStyle w:val="Refdenotaalpie"/>
        </w:rPr>
        <w:footnoteRef/>
      </w:r>
      <w:r>
        <w:t xml:space="preserve"> See Cunningham, 4-5, and </w:t>
      </w:r>
      <w:r w:rsidRPr="00C83286">
        <w:t>Homeward Trust Edmonton, Blue Quills First Nations College, &amp; IRM</w:t>
      </w:r>
      <w:r w:rsidR="00443BC4">
        <w:t xml:space="preserve"> </w:t>
      </w:r>
      <w:r w:rsidRPr="00C83286">
        <w:t>Research and Evaluation</w:t>
      </w:r>
      <w:r>
        <w:t xml:space="preserve">, </w:t>
      </w:r>
      <w:r w:rsidRPr="00C83286">
        <w:rPr>
          <w:i/>
          <w:iCs/>
        </w:rPr>
        <w:t>Research on the Intergenerational Impact of Colonialism: Aboriginal Homelessness in Edmonton – Towards a Deeper Understanding of the Indigenous Experience of Urban</w:t>
      </w:r>
      <w:r w:rsidR="00443BC4">
        <w:rPr>
          <w:i/>
          <w:iCs/>
        </w:rPr>
        <w:t xml:space="preserve"> </w:t>
      </w:r>
      <w:r w:rsidRPr="00C83286">
        <w:rPr>
          <w:i/>
          <w:iCs/>
        </w:rPr>
        <w:t>Homelessness</w:t>
      </w:r>
      <w:r>
        <w:rPr>
          <w:i/>
          <w:iCs/>
        </w:rPr>
        <w:t>,</w:t>
      </w:r>
      <w:r w:rsidRPr="00C83286">
        <w:rPr>
          <w:i/>
          <w:iCs/>
        </w:rPr>
        <w:t> </w:t>
      </w:r>
      <w:r>
        <w:t>(</w:t>
      </w:r>
      <w:r w:rsidRPr="00C83286">
        <w:t>Edmonton: Homeward Trust, 2015</w:t>
      </w:r>
      <w:r>
        <w:t>): 49</w:t>
      </w:r>
      <w:r w:rsidR="004924BD">
        <w:t>,</w:t>
      </w:r>
      <w:r w:rsidRPr="00C83286">
        <w:t xml:space="preserve"> </w:t>
      </w:r>
      <w:hyperlink r:id="rId5" w:history="1">
        <w:r w:rsidR="00443BC4" w:rsidRPr="00331A59">
          <w:rPr>
            <w:rStyle w:val="Hipervnculo"/>
          </w:rPr>
          <w:t>http://www.bluequills.ca/wp-content/uploads/. 2017/03/BQ-Homeward-Trust-Report-Final.pdf</w:t>
        </w:r>
      </w:hyperlink>
      <w:r w:rsidRPr="00C83286">
        <w:t xml:space="preserve">. </w:t>
      </w:r>
      <w:r>
        <w:t xml:space="preserve">For an analysis of the policing of public spaces to the detriment of </w:t>
      </w:r>
      <w:r w:rsidR="005F29D8">
        <w:t>homeless</w:t>
      </w:r>
      <w:r>
        <w:t xml:space="preserve"> individuals, see Robert </w:t>
      </w:r>
      <w:r w:rsidRPr="007F380E">
        <w:t xml:space="preserve">Rosenberger, </w:t>
      </w:r>
      <w:r w:rsidRPr="007F380E">
        <w:rPr>
          <w:i/>
          <w:iCs/>
        </w:rPr>
        <w:t>Callous Objects: Designs Against the Homeless</w:t>
      </w:r>
      <w:r>
        <w:t xml:space="preserve"> (</w:t>
      </w:r>
      <w:r w:rsidRPr="007F380E">
        <w:t>Minneapolis: University of Minnesota Press, 2017</w:t>
      </w:r>
      <w:r>
        <w:t xml:space="preserve">): 80. </w:t>
      </w:r>
    </w:p>
  </w:footnote>
  <w:footnote w:id="11">
    <w:p w14:paraId="48B02531" w14:textId="73626B8B" w:rsidR="00557A7C" w:rsidRDefault="00557A7C">
      <w:pPr>
        <w:pStyle w:val="Textonotapie"/>
      </w:pPr>
      <w:r>
        <w:rPr>
          <w:rStyle w:val="Refdenotaalpie"/>
        </w:rPr>
        <w:footnoteRef/>
      </w:r>
      <w:r>
        <w:t xml:space="preserve"> Julie </w:t>
      </w:r>
      <w:proofErr w:type="spellStart"/>
      <w:r w:rsidRPr="007F380E">
        <w:t>Tomiak</w:t>
      </w:r>
      <w:proofErr w:type="spellEnd"/>
      <w:r w:rsidRPr="007F380E">
        <w:t xml:space="preserve">, Tyler McCreary, David </w:t>
      </w:r>
      <w:proofErr w:type="spellStart"/>
      <w:r w:rsidRPr="007F380E">
        <w:t>Hugill</w:t>
      </w:r>
      <w:proofErr w:type="spellEnd"/>
      <w:r w:rsidRPr="007F380E">
        <w:t xml:space="preserve">, Robert Henry and Heather </w:t>
      </w:r>
      <w:proofErr w:type="spellStart"/>
      <w:r w:rsidRPr="007F380E">
        <w:t>Dorries</w:t>
      </w:r>
      <w:proofErr w:type="spellEnd"/>
      <w:r w:rsidRPr="007F380E">
        <w:t>, ed</w:t>
      </w:r>
      <w:r>
        <w:t>s.,</w:t>
      </w:r>
      <w:r w:rsidRPr="007F380E">
        <w:t xml:space="preserve"> “Introduction: Settler City Limits</w:t>
      </w:r>
      <w:r>
        <w:t>,</w:t>
      </w:r>
      <w:r w:rsidRPr="007F380E">
        <w:t xml:space="preserve">” </w:t>
      </w:r>
      <w:r>
        <w:t>i</w:t>
      </w:r>
      <w:r w:rsidRPr="007F380E">
        <w:t xml:space="preserve">n </w:t>
      </w:r>
      <w:r w:rsidRPr="007F380E">
        <w:rPr>
          <w:i/>
          <w:iCs/>
        </w:rPr>
        <w:t>Settler City Limits: Indigenous Resurgence and Colonial Violence in the Urban Prairie West</w:t>
      </w:r>
      <w:r w:rsidRPr="007F380E">
        <w:t xml:space="preserve">, </w:t>
      </w:r>
      <w:r>
        <w:t>(</w:t>
      </w:r>
      <w:r w:rsidRPr="007F380E">
        <w:t>Manitoba: University of Manitoba Press, 2019</w:t>
      </w:r>
      <w:r>
        <w:t xml:space="preserve">): 13. </w:t>
      </w:r>
      <w:r w:rsidRPr="007F380E">
        <w:t xml:space="preserve"> </w:t>
      </w:r>
    </w:p>
  </w:footnote>
  <w:footnote w:id="12">
    <w:p w14:paraId="071E4EB9" w14:textId="3837FCE4" w:rsidR="00557A7C" w:rsidRDefault="00557A7C">
      <w:pPr>
        <w:pStyle w:val="Textonotapie"/>
      </w:pPr>
      <w:r>
        <w:rPr>
          <w:rStyle w:val="Refdenotaalpie"/>
        </w:rPr>
        <w:footnoteRef/>
      </w:r>
      <w:r>
        <w:t xml:space="preserve"> See Yale D. </w:t>
      </w:r>
      <w:r w:rsidRPr="00082440">
        <w:t>Belanger, and Gabrielle Lindstrom</w:t>
      </w:r>
      <w:r>
        <w:t>,</w:t>
      </w:r>
      <w:r w:rsidRPr="00082440">
        <w:t xml:space="preserve"> “‘All We Need Is Our Land’: Exploring Southern Alberta Urban Indigenous Homelessness</w:t>
      </w:r>
      <w:r>
        <w:t>,</w:t>
      </w:r>
      <w:r w:rsidRPr="00082440">
        <w:t xml:space="preserve">” </w:t>
      </w:r>
      <w:r>
        <w:t>i</w:t>
      </w:r>
      <w:r w:rsidRPr="00082440">
        <w:t xml:space="preserve">n </w:t>
      </w:r>
      <w:r w:rsidRPr="00082440">
        <w:rPr>
          <w:i/>
          <w:iCs/>
        </w:rPr>
        <w:t>Indigenous Homelessness: Perspectives from Canada, Australia, and New Zealand</w:t>
      </w:r>
      <w:r w:rsidRPr="00082440">
        <w:t>, ed</w:t>
      </w:r>
      <w:r>
        <w:t>s.</w:t>
      </w:r>
      <w:r w:rsidRPr="00082440">
        <w:t xml:space="preserve"> Evelyn J. Peters and Julie Christensen, </w:t>
      </w:r>
      <w:r>
        <w:t>(</w:t>
      </w:r>
      <w:r w:rsidRPr="00082440">
        <w:t>Manitoba: University of Manitoba Press, 2016</w:t>
      </w:r>
      <w:r>
        <w:t xml:space="preserve">): 166, 179. </w:t>
      </w:r>
    </w:p>
  </w:footnote>
  <w:footnote w:id="13">
    <w:p w14:paraId="2DFA1784" w14:textId="7B29DC15" w:rsidR="00557A7C" w:rsidRDefault="00557A7C">
      <w:pPr>
        <w:pStyle w:val="Textonotapie"/>
      </w:pPr>
      <w:r>
        <w:rPr>
          <w:rStyle w:val="Refdenotaalpie"/>
        </w:rPr>
        <w:footnoteRef/>
      </w:r>
      <w:r>
        <w:t xml:space="preserve"> </w:t>
      </w:r>
      <w:proofErr w:type="spellStart"/>
      <w:r>
        <w:t>Tomiak</w:t>
      </w:r>
      <w:proofErr w:type="spellEnd"/>
      <w:r>
        <w:t xml:space="preserve"> et al., 3. </w:t>
      </w:r>
    </w:p>
  </w:footnote>
  <w:footnote w:id="14">
    <w:p w14:paraId="75F3E358" w14:textId="446675EB" w:rsidR="00B42759" w:rsidRDefault="00B42759">
      <w:pPr>
        <w:pStyle w:val="Textonotapie"/>
      </w:pPr>
      <w:r>
        <w:rPr>
          <w:rStyle w:val="Refdenotaalpie"/>
        </w:rPr>
        <w:footnoteRef/>
      </w:r>
      <w:r>
        <w:t xml:space="preserve"> </w:t>
      </w:r>
      <w:r w:rsidRPr="00B42759">
        <w:t xml:space="preserve">  Camp pekiwewin closure, 2020, photograph, Rossdale Flats, Edmonton, AB, taken by author.</w:t>
      </w:r>
    </w:p>
  </w:footnote>
  <w:footnote w:id="15">
    <w:p w14:paraId="0903DE54" w14:textId="377995CF" w:rsidR="00557A7C" w:rsidRDefault="00557A7C">
      <w:pPr>
        <w:pStyle w:val="Textonotapie"/>
      </w:pPr>
      <w:r>
        <w:rPr>
          <w:rStyle w:val="Refdenotaalpie"/>
        </w:rPr>
        <w:footnoteRef/>
      </w:r>
      <w:r>
        <w:t xml:space="preserve"> Vivien </w:t>
      </w:r>
      <w:r w:rsidRPr="004E6A43">
        <w:t xml:space="preserve">Runnels, Elizabeth Hay, Elyse </w:t>
      </w:r>
      <w:proofErr w:type="gramStart"/>
      <w:r w:rsidRPr="004E6A43">
        <w:t>Sevigny</w:t>
      </w:r>
      <w:proofErr w:type="gramEnd"/>
      <w:r w:rsidRPr="004E6A43">
        <w:t xml:space="preserve"> and </w:t>
      </w:r>
      <w:proofErr w:type="spellStart"/>
      <w:r w:rsidRPr="004E6A43">
        <w:t>Paddi</w:t>
      </w:r>
      <w:proofErr w:type="spellEnd"/>
      <w:r w:rsidRPr="004E6A43">
        <w:t xml:space="preserve"> O´Hara. “The Ethics of Conducting Community-Engaged Homelessness Research</w:t>
      </w:r>
      <w:r>
        <w:t>,</w:t>
      </w:r>
      <w:r w:rsidRPr="004E6A43">
        <w:t xml:space="preserve">” </w:t>
      </w:r>
      <w:r w:rsidRPr="004E6A43">
        <w:rPr>
          <w:i/>
          <w:iCs/>
        </w:rPr>
        <w:t>Journal of Academic Ethics</w:t>
      </w:r>
      <w:r w:rsidRPr="004E6A43">
        <w:t xml:space="preserve"> 7 (2009):</w:t>
      </w:r>
      <w:r>
        <w:t xml:space="preserve"> 59. </w:t>
      </w:r>
      <w:r w:rsidRPr="004E6A43">
        <w:t xml:space="preserve"> </w:t>
      </w:r>
      <w:hyperlink w:history="1">
        <w:r w:rsidR="00426C15" w:rsidRPr="007C2193">
          <w:rPr>
            <w:rStyle w:val="Hipervnculo"/>
          </w:rPr>
          <w:t>https://doi-org.login.ezproxy. library.ualberta.ca/ 10.1007/s10805-009-9083-2</w:t>
        </w:r>
      </w:hyperlink>
      <w:r w:rsidRPr="004E6A43">
        <w:t xml:space="preserve">. </w:t>
      </w:r>
      <w:r>
        <w:t>At times, the words ‘homeless’ and house-less’ are used interchangeably, although they serve slightly different functions. ‘Homeless’ is a word of popular usage and is widely recognized, whereas ‘house-less’ speaks more to a singular facet of the existence of persons that experience this lifestyle</w:t>
      </w:r>
      <w:r w:rsidR="002E1FD0">
        <w:t xml:space="preserve"> of</w:t>
      </w:r>
      <w:r w:rsidR="00426C15">
        <w:t xml:space="preserve"> being unhoused</w:t>
      </w:r>
      <w:r>
        <w:t xml:space="preserve">. It is always best to position adjectives after nouns in the English language so that descriptive factors do not serve the linguistic function of totalizing someone’s identity based </w:t>
      </w:r>
      <w:r w:rsidR="00955311">
        <w:t xml:space="preserve">exclusively </w:t>
      </w:r>
      <w:r w:rsidR="0067120E">
        <w:t>off</w:t>
      </w:r>
      <w:r w:rsidR="00955311">
        <w:t xml:space="preserve"> t</w:t>
      </w:r>
      <w:r>
        <w:t xml:space="preserve">heir positionality. </w:t>
      </w:r>
    </w:p>
  </w:footnote>
  <w:footnote w:id="16">
    <w:p w14:paraId="40E64616" w14:textId="4246A794" w:rsidR="00557A7C" w:rsidRPr="00ED1947" w:rsidRDefault="00557A7C">
      <w:pPr>
        <w:pStyle w:val="Textonotapie"/>
      </w:pPr>
      <w:r w:rsidRPr="004E6A43">
        <w:rPr>
          <w:rStyle w:val="Refdenotaalpie"/>
        </w:rPr>
        <w:footnoteRef/>
      </w:r>
      <w:r>
        <w:t xml:space="preserve"> Jesse A. </w:t>
      </w:r>
      <w:r w:rsidRPr="004E6A43">
        <w:t xml:space="preserve">Thistle, </w:t>
      </w:r>
      <w:r w:rsidRPr="004E6A43">
        <w:rPr>
          <w:i/>
          <w:iCs/>
        </w:rPr>
        <w:t>Indigenous Definition of Homelessness in Canad</w:t>
      </w:r>
      <w:r>
        <w:rPr>
          <w:i/>
          <w:iCs/>
        </w:rPr>
        <w:t>a</w:t>
      </w:r>
      <w:r>
        <w:t>,</w:t>
      </w:r>
      <w:r w:rsidRPr="004E6A43">
        <w:rPr>
          <w:i/>
          <w:iCs/>
        </w:rPr>
        <w:t xml:space="preserve"> </w:t>
      </w:r>
      <w:r>
        <w:t>(</w:t>
      </w:r>
      <w:r w:rsidRPr="004E6A43">
        <w:t>Toronto: Canadian Observatory on Homelessness Press, 2017</w:t>
      </w:r>
      <w:r>
        <w:t xml:space="preserve">): 16. </w:t>
      </w:r>
      <w:r w:rsidRPr="004E6A43">
        <w:t xml:space="preserve"> </w:t>
      </w:r>
      <w:hyperlink r:id="rId6" w:history="1">
        <w:r w:rsidRPr="004E6A43">
          <w:rPr>
            <w:rStyle w:val="Hipervnculo"/>
          </w:rPr>
          <w:t>https://www.homelesshub.ca/Indigenous Homelessness</w:t>
        </w:r>
      </w:hyperlink>
      <w:r w:rsidRPr="004E6A43">
        <w:t xml:space="preserve">. </w:t>
      </w:r>
      <w:r>
        <w:t xml:space="preserve">Regarding </w:t>
      </w:r>
      <w:r w:rsidR="00955311">
        <w:t xml:space="preserve">the </w:t>
      </w:r>
      <w:r>
        <w:t xml:space="preserve">use of the term ‘Indigenous Peoples’, the function of this umbrella language is to include all persons that identify as Indigenous/Aboriginal, legally </w:t>
      </w:r>
      <w:r w:rsidR="00426C15">
        <w:t>designat</w:t>
      </w:r>
      <w:r w:rsidR="00955311">
        <w:t>ed</w:t>
      </w:r>
      <w:r>
        <w:t xml:space="preserve"> First Nations, M</w:t>
      </w:r>
      <w:r w:rsidRPr="00ED1947">
        <w:t>é</w:t>
      </w:r>
      <w:r>
        <w:t>tis/</w:t>
      </w:r>
      <w:proofErr w:type="spellStart"/>
      <w:r>
        <w:t>Michif</w:t>
      </w:r>
      <w:proofErr w:type="spellEnd"/>
      <w:r>
        <w:t>, and Inuit</w:t>
      </w:r>
      <w:r w:rsidR="002E1FD0">
        <w:t>,</w:t>
      </w:r>
      <w:r>
        <w:t xml:space="preserve"> as well as individuals that were enfranchised by the state and </w:t>
      </w:r>
      <w:r w:rsidR="002E1FD0">
        <w:t xml:space="preserve">are thus </w:t>
      </w:r>
      <w:r>
        <w:t xml:space="preserve">not necessarily members of groups that </w:t>
      </w:r>
      <w:r w:rsidR="00955311">
        <w:t xml:space="preserve">can lay </w:t>
      </w:r>
      <w:r>
        <w:t>claim</w:t>
      </w:r>
      <w:r w:rsidR="00955311">
        <w:t xml:space="preserve"> to</w:t>
      </w:r>
      <w:r>
        <w:t xml:space="preserve"> Treaty rights.</w:t>
      </w:r>
      <w:r w:rsidR="00426C15">
        <w:t xml:space="preserve"> The researcher takes accountability for any errors or </w:t>
      </w:r>
      <w:r w:rsidR="00955311">
        <w:t xml:space="preserve">generalizations </w:t>
      </w:r>
      <w:r w:rsidR="00426C15">
        <w:t>that arise from this choice of language.</w:t>
      </w:r>
    </w:p>
  </w:footnote>
  <w:footnote w:id="17">
    <w:p w14:paraId="5D697BF4" w14:textId="59F940EA" w:rsidR="00557A7C" w:rsidRPr="00ED1947" w:rsidRDefault="00557A7C" w:rsidP="00ED1947">
      <w:pPr>
        <w:pStyle w:val="Textonotapie"/>
      </w:pPr>
      <w:r>
        <w:rPr>
          <w:rStyle w:val="Refdenotaalpie"/>
        </w:rPr>
        <w:footnoteRef/>
      </w:r>
      <w:r>
        <w:t xml:space="preserve"> Evelyn J. </w:t>
      </w:r>
      <w:r w:rsidRPr="00ED1947">
        <w:t xml:space="preserve">Peters, Mathew Stock, Adrian Werner, and Lawrie </w:t>
      </w:r>
      <w:proofErr w:type="spellStart"/>
      <w:r w:rsidRPr="00ED1947">
        <w:t>Barkwell</w:t>
      </w:r>
      <w:proofErr w:type="spellEnd"/>
      <w:r>
        <w:t>,</w:t>
      </w:r>
      <w:r w:rsidRPr="00ED1947">
        <w:t xml:space="preserve"> “Settler Colonialism and the Dispossession of the Manitoba Métis</w:t>
      </w:r>
      <w:r>
        <w:t>,</w:t>
      </w:r>
      <w:r w:rsidRPr="00ED1947">
        <w:t xml:space="preserve">” </w:t>
      </w:r>
      <w:r>
        <w:t>i</w:t>
      </w:r>
      <w:r w:rsidRPr="00ED1947">
        <w:t xml:space="preserve">n </w:t>
      </w:r>
      <w:r w:rsidRPr="00ED1947">
        <w:rPr>
          <w:i/>
          <w:iCs/>
        </w:rPr>
        <w:t xml:space="preserve">Rooster Town: The History of an </w:t>
      </w:r>
      <w:proofErr w:type="spellStart"/>
      <w:r w:rsidRPr="00ED1947">
        <w:rPr>
          <w:i/>
          <w:iCs/>
        </w:rPr>
        <w:t>Ubran</w:t>
      </w:r>
      <w:proofErr w:type="spellEnd"/>
      <w:r w:rsidRPr="00ED1947">
        <w:rPr>
          <w:i/>
          <w:iCs/>
        </w:rPr>
        <w:t xml:space="preserve"> Métis Community, 1901-1961</w:t>
      </w:r>
      <w:r w:rsidRPr="00ED1947">
        <w:t xml:space="preserve">, </w:t>
      </w:r>
      <w:r>
        <w:t>(</w:t>
      </w:r>
      <w:r w:rsidRPr="00ED1947">
        <w:t>Winnipeg: University of Manitoba Press, 2018</w:t>
      </w:r>
      <w:r>
        <w:t xml:space="preserve">): 4. </w:t>
      </w:r>
    </w:p>
    <w:p w14:paraId="6DDB026E" w14:textId="32C53069" w:rsidR="00557A7C" w:rsidRDefault="00557A7C">
      <w:pPr>
        <w:pStyle w:val="Textonotapie"/>
      </w:pPr>
    </w:p>
  </w:footnote>
  <w:footnote w:id="18">
    <w:p w14:paraId="24617A56" w14:textId="1B3F09AF" w:rsidR="00557A7C" w:rsidRPr="002A3E06" w:rsidRDefault="00557A7C">
      <w:pPr>
        <w:pStyle w:val="Textonotapie"/>
        <w:rPr>
          <w:lang w:val="fr-FR"/>
        </w:rPr>
      </w:pPr>
      <w:r>
        <w:rPr>
          <w:rStyle w:val="Refdenotaalpie"/>
        </w:rPr>
        <w:footnoteRef/>
      </w:r>
      <w:r w:rsidRPr="002A3E06">
        <w:rPr>
          <w:lang w:val="fr-FR"/>
        </w:rPr>
        <w:t xml:space="preserve"> Peters et al., 2. </w:t>
      </w:r>
    </w:p>
  </w:footnote>
  <w:footnote w:id="19">
    <w:p w14:paraId="51F73A63" w14:textId="13F9D43F" w:rsidR="00557A7C" w:rsidRPr="002A3E06" w:rsidRDefault="00557A7C">
      <w:pPr>
        <w:pStyle w:val="Textonotapie"/>
        <w:rPr>
          <w:lang w:val="fr-FR"/>
        </w:rPr>
      </w:pPr>
      <w:r>
        <w:rPr>
          <w:rStyle w:val="Refdenotaalpie"/>
        </w:rPr>
        <w:footnoteRef/>
      </w:r>
      <w:r w:rsidRPr="002A3E06">
        <w:rPr>
          <w:lang w:val="fr-FR"/>
        </w:rPr>
        <w:t xml:space="preserve"> Peters et al., 2. </w:t>
      </w:r>
    </w:p>
  </w:footnote>
  <w:footnote w:id="20">
    <w:p w14:paraId="28607DAC" w14:textId="4B803667" w:rsidR="00557A7C" w:rsidRPr="00BF1CEC" w:rsidRDefault="00557A7C" w:rsidP="00BF1CEC">
      <w:pPr>
        <w:pStyle w:val="Textonotapie"/>
      </w:pPr>
      <w:r>
        <w:rPr>
          <w:rStyle w:val="Refdenotaalpie"/>
        </w:rPr>
        <w:footnoteRef/>
      </w:r>
      <w:r>
        <w:t xml:space="preserve"> Miranda </w:t>
      </w:r>
      <w:r w:rsidRPr="00BF1CEC">
        <w:t>Jimmy, “Continuing to RAM Colonization Down our Throats</w:t>
      </w:r>
      <w:r>
        <w:t>,</w:t>
      </w:r>
      <w:r w:rsidRPr="00BF1CEC">
        <w:t xml:space="preserve">” </w:t>
      </w:r>
      <w:r w:rsidRPr="00BF1CEC">
        <w:rPr>
          <w:i/>
          <w:iCs/>
        </w:rPr>
        <w:t>Miranda Jimmy</w:t>
      </w:r>
      <w:r>
        <w:t xml:space="preserve">, </w:t>
      </w:r>
      <w:r w:rsidRPr="00BF1CEC">
        <w:t>July 1, 2019</w:t>
      </w:r>
      <w:r>
        <w:t>: paragraph 4,</w:t>
      </w:r>
      <w:r w:rsidRPr="00BF1CEC">
        <w:t xml:space="preserve"> </w:t>
      </w:r>
      <w:hyperlink r:id="rId7" w:history="1">
        <w:r w:rsidRPr="00BF1CEC">
          <w:rPr>
            <w:rStyle w:val="Hipervnculo"/>
          </w:rPr>
          <w:t>http://mirandajimmy.com/continuing-to-ram-colonization-down-our-throats/</w:t>
        </w:r>
      </w:hyperlink>
      <w:r w:rsidRPr="00BF1CEC">
        <w:t xml:space="preserve">. </w:t>
      </w:r>
    </w:p>
    <w:p w14:paraId="72ACF135" w14:textId="18C1F7F1" w:rsidR="00557A7C" w:rsidRDefault="00557A7C">
      <w:pPr>
        <w:pStyle w:val="Textonotapie"/>
      </w:pPr>
    </w:p>
  </w:footnote>
  <w:footnote w:id="21">
    <w:p w14:paraId="3B997AA0" w14:textId="50719AD6" w:rsidR="00557A7C" w:rsidRPr="00D7181E" w:rsidRDefault="00557A7C">
      <w:pPr>
        <w:pStyle w:val="Textonotapie"/>
      </w:pPr>
      <w:r>
        <w:rPr>
          <w:rStyle w:val="Refdenotaalpie"/>
        </w:rPr>
        <w:footnoteRef/>
      </w:r>
      <w:r>
        <w:t xml:space="preserve"> Danielle </w:t>
      </w:r>
      <w:r w:rsidRPr="00377118">
        <w:t>Metcalfe-</w:t>
      </w:r>
      <w:proofErr w:type="spellStart"/>
      <w:r w:rsidRPr="00377118">
        <w:t>Chenail</w:t>
      </w:r>
      <w:proofErr w:type="spellEnd"/>
      <w:r w:rsidRPr="00377118">
        <w:t xml:space="preserve">, “Re-Imagining Rossdale: </w:t>
      </w:r>
      <w:proofErr w:type="spellStart"/>
      <w:r w:rsidRPr="00377118">
        <w:t>Pehonan</w:t>
      </w:r>
      <w:proofErr w:type="spellEnd"/>
      <w:r w:rsidRPr="00377118">
        <w:t xml:space="preserve"> and the Power Plant</w:t>
      </w:r>
      <w:r>
        <w:t>,</w:t>
      </w:r>
      <w:r w:rsidRPr="00377118">
        <w:t xml:space="preserve">” </w:t>
      </w:r>
      <w:r w:rsidRPr="00377118">
        <w:rPr>
          <w:i/>
          <w:iCs/>
        </w:rPr>
        <w:t>City Museum Edmonton</w:t>
      </w:r>
      <w:r w:rsidRPr="00377118">
        <w:t>, Feb. 10, 2015</w:t>
      </w:r>
      <w:r>
        <w:t>,</w:t>
      </w:r>
      <w:r w:rsidRPr="00377118">
        <w:t xml:space="preserve"> </w:t>
      </w:r>
      <w:hyperlink r:id="rId8" w:history="1">
        <w:r w:rsidRPr="00377118">
          <w:rPr>
            <w:rStyle w:val="Hipervnculo"/>
          </w:rPr>
          <w:t>https://citymuseumedmonton.ca/2015/02/10/re-imagining-rossdale-pehonan-and-the-power-plant/</w:t>
        </w:r>
      </w:hyperlink>
      <w:r w:rsidRPr="00377118">
        <w:t xml:space="preserve">. </w:t>
      </w:r>
      <w:r w:rsidR="00D7181E">
        <w:t xml:space="preserve">See Nick </w:t>
      </w:r>
      <w:r w:rsidR="00D7181E" w:rsidRPr="00D7181E">
        <w:t xml:space="preserve">Estes, </w:t>
      </w:r>
      <w:r w:rsidR="00D7181E" w:rsidRPr="00D7181E">
        <w:rPr>
          <w:i/>
          <w:iCs/>
        </w:rPr>
        <w:t xml:space="preserve">Our History is the Future: Standing Rock versus the Dakota Access Pipeline, and the Long Tradition of Indigenous </w:t>
      </w:r>
      <w:r w:rsidR="00D7181E" w:rsidRPr="00D7181E">
        <w:t>Resistance</w:t>
      </w:r>
      <w:r w:rsidR="00D7181E">
        <w:t>, (</w:t>
      </w:r>
      <w:r w:rsidR="00D7181E" w:rsidRPr="00D7181E">
        <w:t>London, Verso: 2019</w:t>
      </w:r>
      <w:r w:rsidR="00D7181E">
        <w:t xml:space="preserve">) 189, for a discussion about how “gentrification </w:t>
      </w:r>
      <w:r w:rsidR="00D7181E">
        <w:rPr>
          <w:i/>
          <w:iCs/>
        </w:rPr>
        <w:t xml:space="preserve">is </w:t>
      </w:r>
      <w:r w:rsidR="00D7181E">
        <w:t>colonialism.” Emphasis original.</w:t>
      </w:r>
    </w:p>
  </w:footnote>
  <w:footnote w:id="22">
    <w:p w14:paraId="098DBFA9" w14:textId="12DF0784" w:rsidR="00557A7C" w:rsidRPr="00386EFE" w:rsidRDefault="00557A7C">
      <w:pPr>
        <w:pStyle w:val="Textonotapie"/>
      </w:pPr>
      <w:r>
        <w:rPr>
          <w:rStyle w:val="Refdenotaalpie"/>
        </w:rPr>
        <w:footnoteRef/>
      </w:r>
      <w:r w:rsidRPr="00386EFE">
        <w:t xml:space="preserve"> </w:t>
      </w:r>
      <w:proofErr w:type="spellStart"/>
      <w:r w:rsidRPr="00386EFE">
        <w:t>Tomiak</w:t>
      </w:r>
      <w:proofErr w:type="spellEnd"/>
      <w:r w:rsidRPr="00386EFE">
        <w:t xml:space="preserve"> et al., 3.</w:t>
      </w:r>
    </w:p>
  </w:footnote>
  <w:footnote w:id="23">
    <w:p w14:paraId="5F30729D" w14:textId="3A8F634D" w:rsidR="00557A7C" w:rsidRPr="00FF467C" w:rsidRDefault="00557A7C" w:rsidP="00FF467C">
      <w:pPr>
        <w:pStyle w:val="Textonotapie"/>
      </w:pPr>
      <w:r>
        <w:rPr>
          <w:rStyle w:val="Refdenotaalpie"/>
        </w:rPr>
        <w:footnoteRef/>
      </w:r>
      <w:r w:rsidRPr="00386EFE">
        <w:t xml:space="preserve"> </w:t>
      </w:r>
      <w:proofErr w:type="spellStart"/>
      <w:r w:rsidRPr="00386EFE">
        <w:t>Tomiak</w:t>
      </w:r>
      <w:proofErr w:type="spellEnd"/>
      <w:r w:rsidRPr="00386EFE">
        <w:t xml:space="preserve"> et al., 11. </w:t>
      </w:r>
      <w:r>
        <w:t xml:space="preserve">For a discussion on Indigeneity, the urban space, and “visual imperialism” see </w:t>
      </w:r>
      <w:r w:rsidRPr="00FF467C">
        <w:t>Jennifer</w:t>
      </w:r>
      <w:r>
        <w:t xml:space="preserve"> </w:t>
      </w:r>
      <w:proofErr w:type="spellStart"/>
      <w:r>
        <w:t>Adese</w:t>
      </w:r>
      <w:proofErr w:type="spellEnd"/>
      <w:r>
        <w:t>,</w:t>
      </w:r>
      <w:r w:rsidRPr="00FF467C">
        <w:t xml:space="preserve"> “Behaving Unexpectedly in Unexpected Places: First Nations Artists and the Embodiment of Visual Sovereignty</w:t>
      </w:r>
      <w:r>
        <w:t>,</w:t>
      </w:r>
      <w:r w:rsidRPr="00FF467C">
        <w:t xml:space="preserve">” </w:t>
      </w:r>
      <w:r>
        <w:t>i</w:t>
      </w:r>
      <w:r w:rsidRPr="00FF467C">
        <w:t xml:space="preserve">n </w:t>
      </w:r>
      <w:r w:rsidRPr="00FF467C">
        <w:rPr>
          <w:i/>
          <w:iCs/>
        </w:rPr>
        <w:t>More Will Sing Their Way</w:t>
      </w:r>
      <w:r w:rsidR="005C12C1">
        <w:rPr>
          <w:i/>
          <w:iCs/>
        </w:rPr>
        <w:t xml:space="preserve"> </w:t>
      </w:r>
      <w:r>
        <w:rPr>
          <w:i/>
          <w:iCs/>
        </w:rPr>
        <w:t>t</w:t>
      </w:r>
      <w:r w:rsidRPr="00FF467C">
        <w:rPr>
          <w:i/>
          <w:iCs/>
        </w:rPr>
        <w:t>o Freedom: Indigenous Resistance and Resurgence</w:t>
      </w:r>
      <w:r w:rsidRPr="00FF467C">
        <w:t>, ed</w:t>
      </w:r>
      <w:r>
        <w:t xml:space="preserve">s. </w:t>
      </w:r>
      <w:r w:rsidRPr="00FF467C">
        <w:t xml:space="preserve">Elaine Coburn and Emma LaRocque, </w:t>
      </w:r>
      <w:r>
        <w:t>(</w:t>
      </w:r>
      <w:r w:rsidRPr="00FF467C">
        <w:t>Winnipeg: Fernwood Publishing, 2015</w:t>
      </w:r>
      <w:r>
        <w:t xml:space="preserve">): 131. </w:t>
      </w:r>
    </w:p>
    <w:p w14:paraId="4D59E100" w14:textId="60A9E0D4" w:rsidR="00557A7C" w:rsidRDefault="00557A7C">
      <w:pPr>
        <w:pStyle w:val="Textonotapie"/>
      </w:pPr>
    </w:p>
  </w:footnote>
  <w:footnote w:id="24">
    <w:p w14:paraId="087C7C59" w14:textId="6A6C0593" w:rsidR="00A4143A" w:rsidRDefault="00A4143A">
      <w:pPr>
        <w:pStyle w:val="Textonotapie"/>
      </w:pPr>
      <w:r>
        <w:rPr>
          <w:rStyle w:val="Refdenotaalpie"/>
        </w:rPr>
        <w:footnoteRef/>
      </w:r>
      <w:r>
        <w:t xml:space="preserve"> </w:t>
      </w:r>
      <w:proofErr w:type="spellStart"/>
      <w:r>
        <w:t>Adese</w:t>
      </w:r>
      <w:proofErr w:type="spellEnd"/>
      <w:r>
        <w:t xml:space="preserve">. </w:t>
      </w:r>
    </w:p>
  </w:footnote>
  <w:footnote w:id="25">
    <w:p w14:paraId="5DC83F03" w14:textId="70D33EF0" w:rsidR="00557A7C" w:rsidRDefault="00557A7C">
      <w:pPr>
        <w:pStyle w:val="Textonotapie"/>
      </w:pPr>
      <w:r>
        <w:rPr>
          <w:rStyle w:val="Refdenotaalpie"/>
        </w:rPr>
        <w:footnoteRef/>
      </w:r>
      <w:r>
        <w:t xml:space="preserve"> Dwayne Trevor </w:t>
      </w:r>
      <w:r w:rsidRPr="00C27E79">
        <w:t xml:space="preserve">Donald, “Edmonton Pentimento: Re-Reading History in the Case of the </w:t>
      </w:r>
      <w:proofErr w:type="spellStart"/>
      <w:r w:rsidRPr="00C27E79">
        <w:t>Papachase</w:t>
      </w:r>
      <w:proofErr w:type="spellEnd"/>
      <w:r w:rsidRPr="00C27E79">
        <w:t xml:space="preserve"> Cre</w:t>
      </w:r>
      <w:r>
        <w:t>e,</w:t>
      </w:r>
      <w:r w:rsidRPr="00C27E79">
        <w:t xml:space="preserve">” </w:t>
      </w:r>
      <w:r w:rsidRPr="00C27E79">
        <w:rPr>
          <w:i/>
          <w:iCs/>
        </w:rPr>
        <w:t xml:space="preserve">Journal of the Canadian Association for Curriculum Studies </w:t>
      </w:r>
      <w:r w:rsidRPr="00C27E79">
        <w:t>2, no. 1 (2004): 2</w:t>
      </w:r>
      <w:r>
        <w:t xml:space="preserve">7. </w:t>
      </w:r>
      <w:r w:rsidRPr="00C27E79">
        <w:t xml:space="preserve"> </w:t>
      </w:r>
    </w:p>
  </w:footnote>
  <w:footnote w:id="26">
    <w:p w14:paraId="5A15C456" w14:textId="056E7891" w:rsidR="00557A7C" w:rsidRDefault="00557A7C">
      <w:pPr>
        <w:pStyle w:val="Textonotapie"/>
      </w:pPr>
      <w:r>
        <w:rPr>
          <w:rStyle w:val="Refdenotaalpie"/>
        </w:rPr>
        <w:footnoteRef/>
      </w:r>
      <w:r>
        <w:t xml:space="preserve"> Donald, 22-23. </w:t>
      </w:r>
    </w:p>
  </w:footnote>
  <w:footnote w:id="27">
    <w:p w14:paraId="3CE6CA3E" w14:textId="63F52C3D" w:rsidR="00557A7C" w:rsidRDefault="00557A7C">
      <w:pPr>
        <w:pStyle w:val="Textonotapie"/>
      </w:pPr>
      <w:r>
        <w:rPr>
          <w:rStyle w:val="Refdenotaalpie"/>
        </w:rPr>
        <w:footnoteRef/>
      </w:r>
      <w:r>
        <w:t xml:space="preserve"> Donald, 47. </w:t>
      </w:r>
    </w:p>
  </w:footnote>
  <w:footnote w:id="28">
    <w:p w14:paraId="192AA38C" w14:textId="63C0277C" w:rsidR="00A2342F" w:rsidRDefault="00A2342F">
      <w:pPr>
        <w:pStyle w:val="Textonotapie"/>
      </w:pPr>
      <w:r>
        <w:rPr>
          <w:rStyle w:val="Refdenotaalpie"/>
        </w:rPr>
        <w:footnoteRef/>
      </w:r>
      <w:r>
        <w:t xml:space="preserve"> </w:t>
      </w:r>
      <w:r w:rsidRPr="00A2342F">
        <w:t xml:space="preserve">William Cronon, “Foreword: Present Haunts of an </w:t>
      </w:r>
      <w:proofErr w:type="spellStart"/>
      <w:r w:rsidRPr="00A2342F">
        <w:t>Unvanished</w:t>
      </w:r>
      <w:proofErr w:type="spellEnd"/>
      <w:r w:rsidRPr="00A2342F">
        <w:t xml:space="preserve"> Past,” in Native Seattle: Histories from the Crossing-Over Place, by Coll-Peter Thrush, (Weyerhaeuser Environmental Books. Seattle: University of Washington Press, 2007): vii. </w:t>
      </w:r>
    </w:p>
  </w:footnote>
  <w:footnote w:id="29">
    <w:p w14:paraId="17A9497E" w14:textId="656C9E99" w:rsidR="00557A7C" w:rsidRDefault="00557A7C">
      <w:pPr>
        <w:pStyle w:val="Textonotapie"/>
      </w:pPr>
      <w:r>
        <w:rPr>
          <w:rStyle w:val="Refdenotaalpie"/>
        </w:rPr>
        <w:footnoteRef/>
      </w:r>
      <w:r>
        <w:t xml:space="preserve"> Commonwealth, 35. </w:t>
      </w:r>
    </w:p>
  </w:footnote>
  <w:footnote w:id="30">
    <w:p w14:paraId="17E06D6B" w14:textId="15B928F5" w:rsidR="00557A7C" w:rsidRDefault="00557A7C">
      <w:pPr>
        <w:pStyle w:val="Textonotapie"/>
      </w:pPr>
      <w:r>
        <w:rPr>
          <w:rStyle w:val="Refdenotaalpie"/>
        </w:rPr>
        <w:footnoteRef/>
      </w:r>
      <w:r>
        <w:t xml:space="preserve"> Cronon, vii. </w:t>
      </w:r>
    </w:p>
  </w:footnote>
  <w:footnote w:id="31">
    <w:p w14:paraId="5B168657" w14:textId="672E1439" w:rsidR="00557A7C" w:rsidRDefault="00557A7C">
      <w:pPr>
        <w:pStyle w:val="Textonotapie"/>
      </w:pPr>
      <w:r>
        <w:rPr>
          <w:rStyle w:val="Refdenotaalpie"/>
        </w:rPr>
        <w:footnoteRef/>
      </w:r>
      <w:r>
        <w:t xml:space="preserve"> Cronon, vii.</w:t>
      </w:r>
    </w:p>
  </w:footnote>
  <w:footnote w:id="32">
    <w:p w14:paraId="2FC9D064" w14:textId="1E9B7EC5" w:rsidR="00557A7C" w:rsidRDefault="00557A7C">
      <w:pPr>
        <w:pStyle w:val="Textonotapie"/>
      </w:pPr>
      <w:r>
        <w:rPr>
          <w:rStyle w:val="Refdenotaalpie"/>
        </w:rPr>
        <w:footnoteRef/>
      </w:r>
      <w:r>
        <w:t xml:space="preserve"> Belanger and Lindstrom, 173. </w:t>
      </w:r>
    </w:p>
  </w:footnote>
  <w:footnote w:id="33">
    <w:p w14:paraId="7CF7AA8A" w14:textId="27358462" w:rsidR="00557A7C" w:rsidRDefault="00557A7C">
      <w:pPr>
        <w:pStyle w:val="Textonotapie"/>
      </w:pPr>
      <w:r>
        <w:rPr>
          <w:rStyle w:val="Refdenotaalpie"/>
        </w:rPr>
        <w:footnoteRef/>
      </w:r>
      <w:r>
        <w:t xml:space="preserve"> </w:t>
      </w:r>
      <w:r w:rsidRPr="0050553D">
        <w:t>Gérard</w:t>
      </w:r>
      <w:r>
        <w:t xml:space="preserve"> </w:t>
      </w:r>
      <w:r w:rsidRPr="0050553D">
        <w:t>Bouchard, “The Small Nation with a Big Dream: Québec National Myths (eighteenth-twentieth centuries)</w:t>
      </w:r>
      <w:r>
        <w:t>,</w:t>
      </w:r>
      <w:r w:rsidRPr="0050553D">
        <w:t xml:space="preserve">” </w:t>
      </w:r>
      <w:r>
        <w:t>i</w:t>
      </w:r>
      <w:r w:rsidRPr="0050553D">
        <w:t xml:space="preserve">n </w:t>
      </w:r>
      <w:r w:rsidRPr="0050553D">
        <w:rPr>
          <w:i/>
          <w:iCs/>
        </w:rPr>
        <w:t>National Myths: Constructed Pasts, Contested Presents</w:t>
      </w:r>
      <w:r w:rsidRPr="0050553D">
        <w:t>, ed</w:t>
      </w:r>
      <w:r>
        <w:t>.</w:t>
      </w:r>
      <w:r w:rsidRPr="0050553D">
        <w:t xml:space="preserve"> Gérard Bouchard, </w:t>
      </w:r>
      <w:r>
        <w:t>(</w:t>
      </w:r>
      <w:r w:rsidRPr="0050553D">
        <w:t>New York: Routledge, 2013</w:t>
      </w:r>
      <w:r>
        <w:t xml:space="preserve">): 14. </w:t>
      </w:r>
    </w:p>
  </w:footnote>
  <w:footnote w:id="34">
    <w:p w14:paraId="3519127B" w14:textId="4B8D8DAB" w:rsidR="00557A7C" w:rsidRDefault="00557A7C">
      <w:pPr>
        <w:pStyle w:val="Textonotapie"/>
      </w:pPr>
      <w:r>
        <w:rPr>
          <w:rStyle w:val="Refdenotaalpie"/>
        </w:rPr>
        <w:footnoteRef/>
      </w:r>
      <w:r>
        <w:t xml:space="preserve"> Belanger and Lindstrom, 161. </w:t>
      </w:r>
    </w:p>
  </w:footnote>
  <w:footnote w:id="35">
    <w:p w14:paraId="5A638C3E" w14:textId="64ED1C9B" w:rsidR="00E20032" w:rsidRDefault="00E20032">
      <w:pPr>
        <w:pStyle w:val="Textonotapie"/>
      </w:pPr>
      <w:r>
        <w:rPr>
          <w:rStyle w:val="Refdenotaalpie"/>
        </w:rPr>
        <w:footnoteRef/>
      </w:r>
      <w:r>
        <w:t xml:space="preserve"> Belanger and Lindstrom, 161. </w:t>
      </w:r>
    </w:p>
  </w:footnote>
  <w:footnote w:id="36">
    <w:p w14:paraId="1887D141" w14:textId="57945C37" w:rsidR="00E20032" w:rsidRPr="003344E3" w:rsidRDefault="00E20032">
      <w:pPr>
        <w:pStyle w:val="Textonotapie"/>
      </w:pPr>
      <w:r>
        <w:rPr>
          <w:rStyle w:val="Refdenotaalpie"/>
        </w:rPr>
        <w:footnoteRef/>
      </w:r>
      <w:r>
        <w:t xml:space="preserve"> </w:t>
      </w:r>
      <w:r w:rsidRPr="003344E3">
        <w:t xml:space="preserve">Thistle, 14. </w:t>
      </w:r>
    </w:p>
  </w:footnote>
  <w:footnote w:id="37">
    <w:p w14:paraId="63E178F2" w14:textId="33D6ABD1" w:rsidR="00E20032" w:rsidRDefault="00E20032">
      <w:pPr>
        <w:pStyle w:val="Textonotapie"/>
      </w:pPr>
      <w:r>
        <w:rPr>
          <w:rStyle w:val="Refdenotaalpie"/>
        </w:rPr>
        <w:footnoteRef/>
      </w:r>
      <w:r>
        <w:t xml:space="preserve"> Thistle, 15-16. </w:t>
      </w:r>
    </w:p>
  </w:footnote>
  <w:footnote w:id="38">
    <w:p w14:paraId="1DE19AE5" w14:textId="48102055" w:rsidR="00DE74C6" w:rsidRDefault="00DE74C6">
      <w:pPr>
        <w:pStyle w:val="Textonotapie"/>
      </w:pPr>
      <w:r>
        <w:rPr>
          <w:rStyle w:val="Refdenotaalpie"/>
        </w:rPr>
        <w:footnoteRef/>
      </w:r>
      <w:r>
        <w:t xml:space="preserve"> Thistle, 18.</w:t>
      </w:r>
    </w:p>
  </w:footnote>
  <w:footnote w:id="39">
    <w:p w14:paraId="4DCA0161" w14:textId="3B89279E" w:rsidR="00DE74C6" w:rsidRDefault="00DE74C6">
      <w:pPr>
        <w:pStyle w:val="Textonotapie"/>
      </w:pPr>
      <w:r>
        <w:rPr>
          <w:rStyle w:val="Refdenotaalpie"/>
        </w:rPr>
        <w:footnoteRef/>
      </w:r>
      <w:r>
        <w:t xml:space="preserve"> Thistle, 8. </w:t>
      </w:r>
    </w:p>
  </w:footnote>
  <w:footnote w:id="40">
    <w:p w14:paraId="215EDCE4" w14:textId="47DA3E79" w:rsidR="00814B21" w:rsidRDefault="00814B21">
      <w:pPr>
        <w:pStyle w:val="Textonotapie"/>
      </w:pPr>
      <w:r>
        <w:rPr>
          <w:rStyle w:val="Refdenotaalpie"/>
        </w:rPr>
        <w:footnoteRef/>
      </w:r>
      <w:r>
        <w:t xml:space="preserve"> Homeward Trust, 49. </w:t>
      </w:r>
    </w:p>
  </w:footnote>
  <w:footnote w:id="41">
    <w:p w14:paraId="20DC596F" w14:textId="3A588464" w:rsidR="00814B21" w:rsidRDefault="00814B21">
      <w:pPr>
        <w:pStyle w:val="Textonotapie"/>
      </w:pPr>
      <w:r>
        <w:rPr>
          <w:rStyle w:val="Refdenotaalpie"/>
        </w:rPr>
        <w:footnoteRef/>
      </w:r>
      <w:r>
        <w:t xml:space="preserve"> Homeward Trust, 60. </w:t>
      </w:r>
    </w:p>
  </w:footnote>
  <w:footnote w:id="42">
    <w:p w14:paraId="3B6636D7" w14:textId="3AB78305" w:rsidR="00C768F5" w:rsidRDefault="00C768F5">
      <w:pPr>
        <w:pStyle w:val="Textonotapie"/>
      </w:pPr>
      <w:r>
        <w:rPr>
          <w:rStyle w:val="Refdenotaalpie"/>
        </w:rPr>
        <w:footnoteRef/>
      </w:r>
      <w:r>
        <w:t xml:space="preserve"> Homeward Trust, 66. </w:t>
      </w:r>
    </w:p>
  </w:footnote>
  <w:footnote w:id="43">
    <w:p w14:paraId="0D4F11EC" w14:textId="51151936" w:rsidR="00C768F5" w:rsidRDefault="00C768F5">
      <w:pPr>
        <w:pStyle w:val="Textonotapie"/>
      </w:pPr>
      <w:r>
        <w:rPr>
          <w:rStyle w:val="Refdenotaalpie"/>
        </w:rPr>
        <w:footnoteRef/>
      </w:r>
      <w:r>
        <w:t xml:space="preserve"> Rosenberger, 44. </w:t>
      </w:r>
    </w:p>
  </w:footnote>
  <w:footnote w:id="44">
    <w:p w14:paraId="58F20F4D" w14:textId="28B1765A" w:rsidR="00C768F5" w:rsidRDefault="00C768F5">
      <w:pPr>
        <w:pStyle w:val="Textonotapie"/>
      </w:pPr>
      <w:r>
        <w:rPr>
          <w:rStyle w:val="Refdenotaalpie"/>
        </w:rPr>
        <w:footnoteRef/>
      </w:r>
      <w:r>
        <w:t xml:space="preserve"> Rosenberger, 80. </w:t>
      </w:r>
    </w:p>
  </w:footnote>
  <w:footnote w:id="45">
    <w:p w14:paraId="5988BC8B" w14:textId="7AFAFB23" w:rsidR="00EE7C50" w:rsidRDefault="00EE7C50">
      <w:pPr>
        <w:pStyle w:val="Textonotapie"/>
      </w:pPr>
      <w:r>
        <w:rPr>
          <w:rStyle w:val="Refdenotaalpie"/>
        </w:rPr>
        <w:footnoteRef/>
      </w:r>
      <w:r>
        <w:t xml:space="preserve"> Joan S</w:t>
      </w:r>
      <w:r w:rsidRPr="00EE7C50">
        <w:t>angster, “Criminalizing the Colonized: Ontario Native Women Confront the Criminal Justice System, 1920-60</w:t>
      </w:r>
      <w:r>
        <w:t>,</w:t>
      </w:r>
      <w:r w:rsidRPr="00EE7C50">
        <w:t xml:space="preserve">” </w:t>
      </w:r>
      <w:r w:rsidRPr="00EE7C50">
        <w:rPr>
          <w:i/>
          <w:iCs/>
        </w:rPr>
        <w:t>The Canadian Historical Review</w:t>
      </w:r>
      <w:r w:rsidRPr="00EE7C50">
        <w:t xml:space="preserve"> 80, no. 1 (1999): </w:t>
      </w:r>
      <w:r>
        <w:t>42.</w:t>
      </w:r>
      <w:r w:rsidRPr="00EE7C50">
        <w:t xml:space="preserve"> </w:t>
      </w:r>
      <w:hyperlink r:id="rId9" w:history="1">
        <w:r w:rsidRPr="00EE7C50">
          <w:rPr>
            <w:rStyle w:val="Hipervnculo"/>
          </w:rPr>
          <w:t>https://muse.jhu.edu/article/590470</w:t>
        </w:r>
      </w:hyperlink>
      <w:r w:rsidRPr="00EE7C50">
        <w:t xml:space="preserve">. </w:t>
      </w:r>
    </w:p>
  </w:footnote>
  <w:footnote w:id="46">
    <w:p w14:paraId="554E2BEC" w14:textId="566A590C" w:rsidR="00EE7C50" w:rsidRDefault="00EE7C50">
      <w:pPr>
        <w:pStyle w:val="Textonotapie"/>
      </w:pPr>
      <w:r>
        <w:rPr>
          <w:rStyle w:val="Refdenotaalpie"/>
        </w:rPr>
        <w:footnoteRef/>
      </w:r>
      <w:r>
        <w:t xml:space="preserve"> Sangster, 34. </w:t>
      </w:r>
    </w:p>
  </w:footnote>
  <w:footnote w:id="47">
    <w:p w14:paraId="1E8E2BAA" w14:textId="47C0E290" w:rsidR="000462BB" w:rsidRDefault="000462BB">
      <w:pPr>
        <w:pStyle w:val="Textonotapie"/>
      </w:pPr>
      <w:r>
        <w:rPr>
          <w:rStyle w:val="Refdenotaalpie"/>
        </w:rPr>
        <w:footnoteRef/>
      </w:r>
      <w:r>
        <w:t xml:space="preserve"> Homeward Trust, 11. </w:t>
      </w:r>
    </w:p>
  </w:footnote>
  <w:footnote w:id="48">
    <w:p w14:paraId="19C0AE75" w14:textId="3D7BF34E" w:rsidR="000462BB" w:rsidRPr="000462BB" w:rsidRDefault="000462BB">
      <w:pPr>
        <w:pStyle w:val="Textonotapie"/>
        <w:rPr>
          <w:i/>
          <w:iCs/>
        </w:rPr>
      </w:pPr>
      <w:r>
        <w:rPr>
          <w:rStyle w:val="Refdenotaalpie"/>
        </w:rPr>
        <w:footnoteRef/>
      </w:r>
      <w:r>
        <w:t xml:space="preserve"> Audra </w:t>
      </w:r>
      <w:r w:rsidRPr="000462BB">
        <w:t>Simpson, “Ethnographic Refusal: Anthropological Need</w:t>
      </w:r>
      <w:r>
        <w:t>,</w:t>
      </w:r>
      <w:r w:rsidRPr="000462BB">
        <w:t xml:space="preserve">” </w:t>
      </w:r>
      <w:r>
        <w:t>i</w:t>
      </w:r>
      <w:r w:rsidRPr="000462BB">
        <w:t xml:space="preserve">n </w:t>
      </w:r>
      <w:r w:rsidRPr="000462BB">
        <w:rPr>
          <w:i/>
          <w:iCs/>
        </w:rPr>
        <w:t>Mohawk Interruptus: Political Life Across the Borders of Settler States</w:t>
      </w:r>
      <w:r w:rsidRPr="000462BB">
        <w:t xml:space="preserve">, </w:t>
      </w:r>
      <w:r>
        <w:t>(</w:t>
      </w:r>
      <w:r w:rsidRPr="000462BB">
        <w:t>Durham: Duke University Press, 2014</w:t>
      </w:r>
      <w:r>
        <w:t xml:space="preserve">): 97. </w:t>
      </w:r>
    </w:p>
  </w:footnote>
  <w:footnote w:id="49">
    <w:p w14:paraId="0908BE32" w14:textId="1B89DD2F" w:rsidR="000462BB" w:rsidRDefault="000462BB">
      <w:pPr>
        <w:pStyle w:val="Textonotapie"/>
      </w:pPr>
      <w:r>
        <w:rPr>
          <w:rStyle w:val="Refdenotaalpie"/>
        </w:rPr>
        <w:footnoteRef/>
      </w:r>
      <w:r>
        <w:t xml:space="preserve"> Simpson, 112-113. </w:t>
      </w:r>
    </w:p>
  </w:footnote>
  <w:footnote w:id="50">
    <w:p w14:paraId="1CD63262" w14:textId="4AEDCA40" w:rsidR="000462BB" w:rsidRDefault="000462BB">
      <w:pPr>
        <w:pStyle w:val="Textonotapie"/>
      </w:pPr>
      <w:r>
        <w:rPr>
          <w:rStyle w:val="Refdenotaalpie"/>
        </w:rPr>
        <w:footnoteRef/>
      </w:r>
      <w:r>
        <w:t xml:space="preserve"> Marilyn </w:t>
      </w:r>
      <w:r w:rsidRPr="000462BB">
        <w:t xml:space="preserve">Dumont, “Rossdale &amp; Reconciliation: Can the ‘Flats’ Development Truly Commemorate Our Indigenous History?” </w:t>
      </w:r>
      <w:r w:rsidRPr="000462BB">
        <w:rPr>
          <w:i/>
          <w:iCs/>
        </w:rPr>
        <w:t>The Yards</w:t>
      </w:r>
      <w:r w:rsidRPr="000462BB">
        <w:t>, Fall 2015</w:t>
      </w:r>
      <w:r>
        <w:t>,</w:t>
      </w:r>
      <w:r w:rsidRPr="000462BB">
        <w:t xml:space="preserve"> </w:t>
      </w:r>
      <w:hyperlink w:history="1">
        <w:r w:rsidRPr="000462BB">
          <w:rPr>
            <w:rStyle w:val="Hipervnculo"/>
          </w:rPr>
          <w:t>http://theyards yeg.ca/</w:t>
        </w:r>
        <w:proofErr w:type="spellStart"/>
        <w:r w:rsidRPr="000462BB">
          <w:rPr>
            <w:rStyle w:val="Hipervnculo"/>
          </w:rPr>
          <w:t>rossdale</w:t>
        </w:r>
        <w:proofErr w:type="spellEnd"/>
        <w:r w:rsidRPr="000462BB">
          <w:rPr>
            <w:rStyle w:val="Hipervnculo"/>
          </w:rPr>
          <w:t>-reconciliation</w:t>
        </w:r>
      </w:hyperlink>
      <w:r w:rsidRPr="000462BB">
        <w:t xml:space="preserve">. </w:t>
      </w:r>
    </w:p>
  </w:footnote>
  <w:footnote w:id="51">
    <w:p w14:paraId="240162AB" w14:textId="44103CA5" w:rsidR="008E3325" w:rsidRDefault="008E3325">
      <w:pPr>
        <w:pStyle w:val="Textonotapie"/>
      </w:pPr>
      <w:r>
        <w:rPr>
          <w:rStyle w:val="Refdenotaalpie"/>
        </w:rPr>
        <w:footnoteRef/>
      </w:r>
      <w:r>
        <w:t xml:space="preserve"> </w:t>
      </w:r>
      <w:r w:rsidRPr="008E3325">
        <w:t>Brittney Anne</w:t>
      </w:r>
      <w:r>
        <w:t xml:space="preserve"> Bos,</w:t>
      </w:r>
      <w:r w:rsidRPr="008E3325">
        <w:t xml:space="preserve"> “Introduction: Braiding Commemoration, Visual Analysis, and Race</w:t>
      </w:r>
      <w:r>
        <w:t>,” i</w:t>
      </w:r>
      <w:r w:rsidRPr="008E3325">
        <w:t xml:space="preserve">n </w:t>
      </w:r>
      <w:r w:rsidRPr="008E3325">
        <w:rPr>
          <w:i/>
          <w:iCs/>
        </w:rPr>
        <w:t>Forging Iconographies and Casting Colonialism: Monuments and Memories in Ontario, 1850-</w:t>
      </w:r>
      <w:r w:rsidRPr="008E3325">
        <w:t>2001</w:t>
      </w:r>
      <w:r>
        <w:t>, (</w:t>
      </w:r>
      <w:r w:rsidRPr="008E3325">
        <w:t>PhD diss., Queen’s University, 2016</w:t>
      </w:r>
      <w:r>
        <w:t>): 20,</w:t>
      </w:r>
      <w:r w:rsidRPr="008E3325">
        <w:t xml:space="preserve"> </w:t>
      </w:r>
      <w:hyperlink w:history="1">
        <w:r w:rsidRPr="008E3325">
          <w:rPr>
            <w:rStyle w:val="Hipervnculo"/>
          </w:rPr>
          <w:t>https:// qspace.library.queensu.ca/handle/1974/14959</w:t>
        </w:r>
      </w:hyperlink>
      <w:r w:rsidRPr="008E3325">
        <w:t xml:space="preserve">. </w:t>
      </w:r>
    </w:p>
  </w:footnote>
  <w:footnote w:id="52">
    <w:p w14:paraId="09AE8743" w14:textId="7BA318C8" w:rsidR="000D2916" w:rsidRDefault="000D2916">
      <w:pPr>
        <w:pStyle w:val="Textonotapie"/>
      </w:pPr>
      <w:r>
        <w:rPr>
          <w:rStyle w:val="Refdenotaalpie"/>
        </w:rPr>
        <w:footnoteRef/>
      </w:r>
      <w:r>
        <w:t xml:space="preserve"> Thistle, 16. </w:t>
      </w:r>
    </w:p>
  </w:footnote>
  <w:footnote w:id="53">
    <w:p w14:paraId="27BC6D7A" w14:textId="00A5D232" w:rsidR="000D2916" w:rsidRDefault="000D2916">
      <w:pPr>
        <w:pStyle w:val="Textonotapie"/>
      </w:pPr>
      <w:r>
        <w:rPr>
          <w:rStyle w:val="Refdenotaalpie"/>
        </w:rPr>
        <w:footnoteRef/>
      </w:r>
      <w:r>
        <w:t xml:space="preserve"> </w:t>
      </w:r>
      <w:r w:rsidRPr="000D2916">
        <w:t>Edmonton</w:t>
      </w:r>
      <w:r>
        <w:t xml:space="preserve">, </w:t>
      </w:r>
      <w:r w:rsidRPr="000D2916">
        <w:t>“Choices for Our Future City. What We are Hearing: Indigenous Engagement</w:t>
      </w:r>
      <w:r>
        <w:t>,</w:t>
      </w:r>
      <w:r w:rsidRPr="000D2916">
        <w:t xml:space="preserve">” </w:t>
      </w:r>
      <w:r w:rsidRPr="000D2916">
        <w:rPr>
          <w:i/>
          <w:iCs/>
        </w:rPr>
        <w:t>The City Plan</w:t>
      </w:r>
      <w:r w:rsidRPr="000D2916">
        <w:t>, Nov. 2018 – June 2019</w:t>
      </w:r>
      <w:r>
        <w:t>: 31.</w:t>
      </w:r>
      <w:r w:rsidRPr="000D2916">
        <w:t xml:space="preserve"> </w:t>
      </w:r>
      <w:hyperlink r:id="rId10" w:history="1">
        <w:r w:rsidRPr="000D2916">
          <w:rPr>
            <w:rStyle w:val="Hipervnculo"/>
          </w:rPr>
          <w:t>https://www.edmonton.ca/city_government/ documents/PDF/</w:t>
        </w:r>
        <w:r w:rsidRPr="0055564F">
          <w:rPr>
            <w:rStyle w:val="Hipervnculo"/>
          </w:rPr>
          <w:t xml:space="preserve"> </w:t>
        </w:r>
        <w:proofErr w:type="spellStart"/>
        <w:r w:rsidRPr="000D2916">
          <w:rPr>
            <w:rStyle w:val="Hipervnculo"/>
          </w:rPr>
          <w:t>City_Plan_What</w:t>
        </w:r>
        <w:proofErr w:type="spellEnd"/>
        <w:r w:rsidRPr="0055564F">
          <w:rPr>
            <w:rStyle w:val="Hipervnculo"/>
          </w:rPr>
          <w:t xml:space="preserve"> </w:t>
        </w:r>
        <w:r w:rsidRPr="000D2916">
          <w:rPr>
            <w:rStyle w:val="Hipervnculo"/>
          </w:rPr>
          <w:t>WeAreHearing_IndigenousEngagement.pdf</w:t>
        </w:r>
      </w:hyperlink>
      <w:r w:rsidRPr="000D291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00FD" w14:textId="77777777" w:rsidR="00557A7C" w:rsidRDefault="00557A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8C15" w14:textId="77777777" w:rsidR="00142EE6" w:rsidRPr="007167BE" w:rsidRDefault="00142EE6">
    <w:pPr>
      <w:pStyle w:val="Encabezado"/>
      <w:jc w:val="right"/>
      <w:rPr>
        <w:szCs w:val="24"/>
      </w:rPr>
    </w:pPr>
    <w:r w:rsidRPr="007167BE">
      <w:rPr>
        <w:szCs w:val="24"/>
      </w:rPr>
      <w:fldChar w:fldCharType="begin"/>
    </w:r>
    <w:r w:rsidRPr="007167BE">
      <w:rPr>
        <w:szCs w:val="24"/>
      </w:rPr>
      <w:instrText>PAGE   \* MERGEFORMAT</w:instrText>
    </w:r>
    <w:r w:rsidRPr="007167BE">
      <w:rPr>
        <w:szCs w:val="24"/>
      </w:rPr>
      <w:fldChar w:fldCharType="separate"/>
    </w:r>
    <w:r w:rsidRPr="007167BE">
      <w:rPr>
        <w:szCs w:val="24"/>
        <w:lang w:val="es-ES"/>
      </w:rPr>
      <w:t>2</w:t>
    </w:r>
    <w:r w:rsidRPr="007167BE">
      <w:rPr>
        <w:szCs w:val="24"/>
      </w:rPr>
      <w:fldChar w:fldCharType="end"/>
    </w:r>
  </w:p>
  <w:p w14:paraId="796CF5D7" w14:textId="77777777" w:rsidR="00142EE6" w:rsidRDefault="00142E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909A" w14:textId="77777777" w:rsidR="00557A7C" w:rsidRDefault="00557A7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BE"/>
    <w:rsid w:val="000011D1"/>
    <w:rsid w:val="00005272"/>
    <w:rsid w:val="00026F5C"/>
    <w:rsid w:val="00027241"/>
    <w:rsid w:val="00041FCC"/>
    <w:rsid w:val="000462BB"/>
    <w:rsid w:val="00060E34"/>
    <w:rsid w:val="00072655"/>
    <w:rsid w:val="00082440"/>
    <w:rsid w:val="000872C9"/>
    <w:rsid w:val="00095429"/>
    <w:rsid w:val="000A69D2"/>
    <w:rsid w:val="000B3A65"/>
    <w:rsid w:val="000D2916"/>
    <w:rsid w:val="000D73F8"/>
    <w:rsid w:val="000E0DED"/>
    <w:rsid w:val="000E7E49"/>
    <w:rsid w:val="0011776F"/>
    <w:rsid w:val="00142EE6"/>
    <w:rsid w:val="001466E8"/>
    <w:rsid w:val="00172978"/>
    <w:rsid w:val="00193E69"/>
    <w:rsid w:val="001A2E30"/>
    <w:rsid w:val="001B41B3"/>
    <w:rsid w:val="001B532F"/>
    <w:rsid w:val="001C3A80"/>
    <w:rsid w:val="001D1C5A"/>
    <w:rsid w:val="001D3614"/>
    <w:rsid w:val="0020043A"/>
    <w:rsid w:val="0021158C"/>
    <w:rsid w:val="00215578"/>
    <w:rsid w:val="002264FF"/>
    <w:rsid w:val="00242689"/>
    <w:rsid w:val="002526C3"/>
    <w:rsid w:val="00253E6F"/>
    <w:rsid w:val="002736FD"/>
    <w:rsid w:val="00276907"/>
    <w:rsid w:val="00277D41"/>
    <w:rsid w:val="00285558"/>
    <w:rsid w:val="00293F8A"/>
    <w:rsid w:val="002A3E06"/>
    <w:rsid w:val="002C0540"/>
    <w:rsid w:val="002C0F99"/>
    <w:rsid w:val="002D178C"/>
    <w:rsid w:val="002E1FD0"/>
    <w:rsid w:val="002F4C2D"/>
    <w:rsid w:val="00314729"/>
    <w:rsid w:val="00322C3D"/>
    <w:rsid w:val="003344E3"/>
    <w:rsid w:val="00365975"/>
    <w:rsid w:val="00371570"/>
    <w:rsid w:val="00375982"/>
    <w:rsid w:val="00377118"/>
    <w:rsid w:val="0038621E"/>
    <w:rsid w:val="00386EFE"/>
    <w:rsid w:val="00393488"/>
    <w:rsid w:val="003B1ADB"/>
    <w:rsid w:val="003B65A0"/>
    <w:rsid w:val="003B6D9A"/>
    <w:rsid w:val="003C08AC"/>
    <w:rsid w:val="003E326B"/>
    <w:rsid w:val="003E5A7A"/>
    <w:rsid w:val="003F1E04"/>
    <w:rsid w:val="003F29BC"/>
    <w:rsid w:val="003F4472"/>
    <w:rsid w:val="0042380C"/>
    <w:rsid w:val="00426980"/>
    <w:rsid w:val="00426C15"/>
    <w:rsid w:val="0042708C"/>
    <w:rsid w:val="00431E09"/>
    <w:rsid w:val="00437B21"/>
    <w:rsid w:val="00443BC4"/>
    <w:rsid w:val="004456A6"/>
    <w:rsid w:val="00447812"/>
    <w:rsid w:val="00447DFA"/>
    <w:rsid w:val="0046675E"/>
    <w:rsid w:val="00467270"/>
    <w:rsid w:val="004707C9"/>
    <w:rsid w:val="004722B9"/>
    <w:rsid w:val="0047557A"/>
    <w:rsid w:val="004924BD"/>
    <w:rsid w:val="00492DEE"/>
    <w:rsid w:val="004A39F0"/>
    <w:rsid w:val="004A769F"/>
    <w:rsid w:val="004B0CDB"/>
    <w:rsid w:val="004B59B1"/>
    <w:rsid w:val="004E6667"/>
    <w:rsid w:val="004E6A43"/>
    <w:rsid w:val="004F0203"/>
    <w:rsid w:val="004F6EEE"/>
    <w:rsid w:val="005007FA"/>
    <w:rsid w:val="0050553D"/>
    <w:rsid w:val="005167A2"/>
    <w:rsid w:val="00522E8B"/>
    <w:rsid w:val="0052678E"/>
    <w:rsid w:val="00556D93"/>
    <w:rsid w:val="00557A7C"/>
    <w:rsid w:val="00562AEA"/>
    <w:rsid w:val="005741E2"/>
    <w:rsid w:val="00583EE3"/>
    <w:rsid w:val="005C12C1"/>
    <w:rsid w:val="005D0B3B"/>
    <w:rsid w:val="005F1726"/>
    <w:rsid w:val="005F29D8"/>
    <w:rsid w:val="00623918"/>
    <w:rsid w:val="0063441C"/>
    <w:rsid w:val="00636ECA"/>
    <w:rsid w:val="00640746"/>
    <w:rsid w:val="00662B11"/>
    <w:rsid w:val="0067120E"/>
    <w:rsid w:val="00675CC7"/>
    <w:rsid w:val="00677579"/>
    <w:rsid w:val="00682E31"/>
    <w:rsid w:val="00683358"/>
    <w:rsid w:val="00683B28"/>
    <w:rsid w:val="00692630"/>
    <w:rsid w:val="00696EC0"/>
    <w:rsid w:val="006C0374"/>
    <w:rsid w:val="006E37AB"/>
    <w:rsid w:val="006F696B"/>
    <w:rsid w:val="00700814"/>
    <w:rsid w:val="00712035"/>
    <w:rsid w:val="007167BE"/>
    <w:rsid w:val="00767611"/>
    <w:rsid w:val="00783BF9"/>
    <w:rsid w:val="007A1F4E"/>
    <w:rsid w:val="007B3F6C"/>
    <w:rsid w:val="007C4A5C"/>
    <w:rsid w:val="007D1C2C"/>
    <w:rsid w:val="007D5091"/>
    <w:rsid w:val="007E7B4C"/>
    <w:rsid w:val="007F380E"/>
    <w:rsid w:val="00806DC8"/>
    <w:rsid w:val="0080773D"/>
    <w:rsid w:val="00814B21"/>
    <w:rsid w:val="0082207D"/>
    <w:rsid w:val="008223CC"/>
    <w:rsid w:val="00825457"/>
    <w:rsid w:val="0083157D"/>
    <w:rsid w:val="00843059"/>
    <w:rsid w:val="008453C0"/>
    <w:rsid w:val="008454EA"/>
    <w:rsid w:val="00866DC3"/>
    <w:rsid w:val="008A16B7"/>
    <w:rsid w:val="008C0543"/>
    <w:rsid w:val="008C4371"/>
    <w:rsid w:val="008E3325"/>
    <w:rsid w:val="00955311"/>
    <w:rsid w:val="0097657F"/>
    <w:rsid w:val="009875C6"/>
    <w:rsid w:val="009B48DE"/>
    <w:rsid w:val="009E561D"/>
    <w:rsid w:val="00A02A74"/>
    <w:rsid w:val="00A12848"/>
    <w:rsid w:val="00A1584B"/>
    <w:rsid w:val="00A2342F"/>
    <w:rsid w:val="00A4143A"/>
    <w:rsid w:val="00A46289"/>
    <w:rsid w:val="00A62DBB"/>
    <w:rsid w:val="00A80A49"/>
    <w:rsid w:val="00A85211"/>
    <w:rsid w:val="00A92136"/>
    <w:rsid w:val="00AA320B"/>
    <w:rsid w:val="00AA6A9F"/>
    <w:rsid w:val="00AF78E3"/>
    <w:rsid w:val="00B04D48"/>
    <w:rsid w:val="00B421FD"/>
    <w:rsid w:val="00B42759"/>
    <w:rsid w:val="00B46075"/>
    <w:rsid w:val="00B56036"/>
    <w:rsid w:val="00B67F59"/>
    <w:rsid w:val="00B94630"/>
    <w:rsid w:val="00BA2F58"/>
    <w:rsid w:val="00BA4B17"/>
    <w:rsid w:val="00BB0B00"/>
    <w:rsid w:val="00BB238A"/>
    <w:rsid w:val="00BB5D53"/>
    <w:rsid w:val="00BC47DC"/>
    <w:rsid w:val="00BC7B0D"/>
    <w:rsid w:val="00BE0D43"/>
    <w:rsid w:val="00BE73B4"/>
    <w:rsid w:val="00BF1CEC"/>
    <w:rsid w:val="00BF3AFA"/>
    <w:rsid w:val="00C00516"/>
    <w:rsid w:val="00C008F9"/>
    <w:rsid w:val="00C27BF8"/>
    <w:rsid w:val="00C27E79"/>
    <w:rsid w:val="00C35C7C"/>
    <w:rsid w:val="00C36C16"/>
    <w:rsid w:val="00C52293"/>
    <w:rsid w:val="00C612A2"/>
    <w:rsid w:val="00C768F5"/>
    <w:rsid w:val="00C83286"/>
    <w:rsid w:val="00C84EC5"/>
    <w:rsid w:val="00C8584D"/>
    <w:rsid w:val="00C9576A"/>
    <w:rsid w:val="00CA7133"/>
    <w:rsid w:val="00CC0963"/>
    <w:rsid w:val="00CE2D2E"/>
    <w:rsid w:val="00D2232E"/>
    <w:rsid w:val="00D46E7D"/>
    <w:rsid w:val="00D53EC0"/>
    <w:rsid w:val="00D67547"/>
    <w:rsid w:val="00D7181E"/>
    <w:rsid w:val="00DE369A"/>
    <w:rsid w:val="00DE74C6"/>
    <w:rsid w:val="00E20032"/>
    <w:rsid w:val="00E36176"/>
    <w:rsid w:val="00E47FF8"/>
    <w:rsid w:val="00E560BD"/>
    <w:rsid w:val="00E73B8A"/>
    <w:rsid w:val="00EC3411"/>
    <w:rsid w:val="00ED1947"/>
    <w:rsid w:val="00ED798B"/>
    <w:rsid w:val="00EE3A8A"/>
    <w:rsid w:val="00EE7C50"/>
    <w:rsid w:val="00F0574D"/>
    <w:rsid w:val="00F27422"/>
    <w:rsid w:val="00F50A91"/>
    <w:rsid w:val="00F55DA7"/>
    <w:rsid w:val="00F609FE"/>
    <w:rsid w:val="00F7799B"/>
    <w:rsid w:val="00F83934"/>
    <w:rsid w:val="00FC711E"/>
    <w:rsid w:val="00FD3DA6"/>
    <w:rsid w:val="00FD60BF"/>
    <w:rsid w:val="00FE01B2"/>
    <w:rsid w:val="00FE04B8"/>
    <w:rsid w:val="00FE0D73"/>
    <w:rsid w:val="00FE0E24"/>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2A06D"/>
  <w15:chartTrackingRefBased/>
  <w15:docId w15:val="{EAFE2B1C-4439-47E4-88B8-E3CBCCE2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s-MX"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7167BE"/>
    <w:rPr>
      <w:sz w:val="16"/>
      <w:szCs w:val="16"/>
    </w:rPr>
  </w:style>
  <w:style w:type="paragraph" w:styleId="Textocomentario">
    <w:name w:val="annotation text"/>
    <w:basedOn w:val="Normal"/>
    <w:link w:val="TextocomentarioCar"/>
    <w:uiPriority w:val="99"/>
    <w:semiHidden/>
    <w:unhideWhenUsed/>
    <w:rsid w:val="007167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7BE"/>
    <w:rPr>
      <w:sz w:val="20"/>
      <w:szCs w:val="20"/>
      <w:lang w:val="en-CA"/>
    </w:rPr>
  </w:style>
  <w:style w:type="paragraph" w:styleId="Asuntodelcomentario">
    <w:name w:val="annotation subject"/>
    <w:basedOn w:val="Textocomentario"/>
    <w:next w:val="Textocomentario"/>
    <w:link w:val="AsuntodelcomentarioCar"/>
    <w:uiPriority w:val="99"/>
    <w:semiHidden/>
    <w:unhideWhenUsed/>
    <w:rsid w:val="007167BE"/>
    <w:rPr>
      <w:b/>
      <w:bCs/>
    </w:rPr>
  </w:style>
  <w:style w:type="character" w:customStyle="1" w:styleId="AsuntodelcomentarioCar">
    <w:name w:val="Asunto del comentario Car"/>
    <w:basedOn w:val="TextocomentarioCar"/>
    <w:link w:val="Asuntodelcomentario"/>
    <w:uiPriority w:val="99"/>
    <w:semiHidden/>
    <w:rsid w:val="007167BE"/>
    <w:rPr>
      <w:b/>
      <w:bCs/>
      <w:sz w:val="20"/>
      <w:szCs w:val="20"/>
      <w:lang w:val="en-CA"/>
    </w:rPr>
  </w:style>
  <w:style w:type="paragraph" w:styleId="Textodeglobo">
    <w:name w:val="Balloon Text"/>
    <w:basedOn w:val="Normal"/>
    <w:link w:val="TextodegloboCar"/>
    <w:uiPriority w:val="99"/>
    <w:semiHidden/>
    <w:unhideWhenUsed/>
    <w:rsid w:val="007167B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7BE"/>
    <w:rPr>
      <w:rFonts w:ascii="Segoe UI" w:hAnsi="Segoe UI" w:cs="Segoe UI"/>
      <w:sz w:val="18"/>
      <w:szCs w:val="18"/>
      <w:lang w:val="en-CA"/>
    </w:rPr>
  </w:style>
  <w:style w:type="paragraph" w:styleId="Encabezado">
    <w:name w:val="header"/>
    <w:basedOn w:val="Normal"/>
    <w:link w:val="EncabezadoCar"/>
    <w:uiPriority w:val="99"/>
    <w:unhideWhenUsed/>
    <w:rsid w:val="007167B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167BE"/>
    <w:rPr>
      <w:lang w:val="en-CA"/>
    </w:rPr>
  </w:style>
  <w:style w:type="paragraph" w:styleId="Piedepgina">
    <w:name w:val="footer"/>
    <w:basedOn w:val="Normal"/>
    <w:link w:val="PiedepginaCar"/>
    <w:uiPriority w:val="99"/>
    <w:unhideWhenUsed/>
    <w:rsid w:val="007167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167BE"/>
    <w:rPr>
      <w:lang w:val="en-CA"/>
    </w:rPr>
  </w:style>
  <w:style w:type="character" w:styleId="Hipervnculo">
    <w:name w:val="Hyperlink"/>
    <w:basedOn w:val="Fuentedeprrafopredeter"/>
    <w:uiPriority w:val="99"/>
    <w:unhideWhenUsed/>
    <w:rsid w:val="002F4C2D"/>
    <w:rPr>
      <w:color w:val="0563C1" w:themeColor="hyperlink"/>
      <w:u w:val="single"/>
    </w:rPr>
  </w:style>
  <w:style w:type="character" w:styleId="Mencinsinresolver">
    <w:name w:val="Unresolved Mention"/>
    <w:basedOn w:val="Fuentedeprrafopredeter"/>
    <w:uiPriority w:val="99"/>
    <w:semiHidden/>
    <w:unhideWhenUsed/>
    <w:rsid w:val="002F4C2D"/>
    <w:rPr>
      <w:color w:val="605E5C"/>
      <w:shd w:val="clear" w:color="auto" w:fill="E1DFDD"/>
    </w:rPr>
  </w:style>
  <w:style w:type="character" w:styleId="Hipervnculovisitado">
    <w:name w:val="FollowedHyperlink"/>
    <w:basedOn w:val="Fuentedeprrafopredeter"/>
    <w:uiPriority w:val="99"/>
    <w:semiHidden/>
    <w:unhideWhenUsed/>
    <w:rsid w:val="002526C3"/>
    <w:rPr>
      <w:color w:val="954F72" w:themeColor="followedHyperlink"/>
      <w:u w:val="single"/>
    </w:rPr>
  </w:style>
  <w:style w:type="paragraph" w:styleId="Textonotapie">
    <w:name w:val="footnote text"/>
    <w:basedOn w:val="Normal"/>
    <w:link w:val="TextonotapieCar"/>
    <w:uiPriority w:val="99"/>
    <w:unhideWhenUsed/>
    <w:rsid w:val="0021158C"/>
    <w:pPr>
      <w:spacing w:line="240" w:lineRule="auto"/>
    </w:pPr>
    <w:rPr>
      <w:sz w:val="20"/>
      <w:szCs w:val="20"/>
    </w:rPr>
  </w:style>
  <w:style w:type="character" w:customStyle="1" w:styleId="TextonotapieCar">
    <w:name w:val="Texto nota pie Car"/>
    <w:basedOn w:val="Fuentedeprrafopredeter"/>
    <w:link w:val="Textonotapie"/>
    <w:uiPriority w:val="99"/>
    <w:rsid w:val="0021158C"/>
    <w:rPr>
      <w:sz w:val="20"/>
      <w:szCs w:val="20"/>
      <w:lang w:val="en-CA"/>
    </w:rPr>
  </w:style>
  <w:style w:type="character" w:styleId="Refdenotaalpie">
    <w:name w:val="footnote reference"/>
    <w:basedOn w:val="Fuentedeprrafopredeter"/>
    <w:uiPriority w:val="99"/>
    <w:semiHidden/>
    <w:unhideWhenUsed/>
    <w:rsid w:val="002115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monton.ca/city%20_government%20/edmonton_archives/sacred-spaces.aspx" TargetMode="External"/><Relationship Id="rId18" Type="http://schemas.openxmlformats.org/officeDocument/2006/relationships/hyperlink" Target="https://www.travelalberta.com/ca/listings/rossdale-burial-site-616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luequills.ca/wp-content/uploads/2017/03/BQ-Homeward-Trust-Report-Final.pdf" TargetMode="External"/><Relationship Id="rId7" Type="http://schemas.openxmlformats.org/officeDocument/2006/relationships/header" Target="header1.xml"/><Relationship Id="rId12" Type="http://schemas.openxmlformats.org/officeDocument/2006/relationships/hyperlink" Target="https://www.edmonton.ca/city_government/%20documents/PDF/City_Plan_WhatWeAreHearing_IndigenousEngagement.pdf" TargetMode="External"/><Relationship Id="rId17" Type="http://schemas.openxmlformats.org/officeDocument/2006/relationships/hyperlink" Target="https://citymuseumedmonton.ca/2015/02/10/re-imagining-rossdale-pehonan-and-the-power-pla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irandajimmy.com/continuing-to-ram-colonization-down-our-throats/" TargetMode="External"/><Relationship Id="rId20" Type="http://schemas.openxmlformats.org/officeDocument/2006/relationships/hyperlink" Target="https://www.edmonton.ca/documents/PDF/Rossdale_Historical%20_Land_Use_Study_Feb_2004.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ekiwewin.com/about" TargetMode="External"/><Relationship Id="rId24" Type="http://schemas.openxmlformats.org/officeDocument/2006/relationships/hyperlink" Target="https://www.homelesshub.ca/Indigenous%20Homelessness" TargetMode="External"/><Relationship Id="rId5" Type="http://schemas.openxmlformats.org/officeDocument/2006/relationships/footnotes" Target="footnotes.xml"/><Relationship Id="rId15" Type="http://schemas.openxmlformats.org/officeDocument/2006/relationships/hyperlink" Target="https://www.epcor.com/products-services/infrastructure/construction-projects/%20rossdale-site/Pages/rossdale-indigenous-peoples.aspx" TargetMode="External"/><Relationship Id="rId23" Type="http://schemas.openxmlformats.org/officeDocument/2006/relationships/hyperlink" Target="https://muse.jhu.edu/article/590470" TargetMode="Externa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dmontonmapsheritage.ca/location/rossdale-burial-site/" TargetMode="External"/><Relationship Id="rId22" Type="http://schemas.openxmlformats.org/officeDocument/2006/relationships/hyperlink" Target="https://doi-org.login.ezproxy.library.ualberta.ca/10.%201007/s10805-009-9083-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itymuseumedmonton.ca/2015/02/10/re-imagining-rossdale-pehonan-and-the-power-plant/" TargetMode="External"/><Relationship Id="rId3" Type="http://schemas.openxmlformats.org/officeDocument/2006/relationships/hyperlink" Target="https://www.epcor.com/%20products-services/infrastructure/construction-projects/rossdale-site/Pages/rossdale-indigenous-peoples.aspx" TargetMode="External"/><Relationship Id="rId7" Type="http://schemas.openxmlformats.org/officeDocument/2006/relationships/hyperlink" Target="http://mirandajimmy.com/continuing-to-ram-colonization-down-our-throats/" TargetMode="External"/><Relationship Id="rId2" Type="http://schemas.openxmlformats.org/officeDocument/2006/relationships/hyperlink" Target="https://www.travelalberta.com/ca/listings/rossdale-burial-site-6163/" TargetMode="External"/><Relationship Id="rId1" Type="http://schemas.openxmlformats.org/officeDocument/2006/relationships/hyperlink" Target="https://pekiwewin.com/about" TargetMode="External"/><Relationship Id="rId6" Type="http://schemas.openxmlformats.org/officeDocument/2006/relationships/hyperlink" Target="https://www.homelesshub.ca/Indigenous%20Homelessness" TargetMode="External"/><Relationship Id="rId5" Type="http://schemas.openxmlformats.org/officeDocument/2006/relationships/hyperlink" Target="http://www.bluequills.ca/wp-content/uploads/.%202017/03/BQ-Homeward-Trust-Report-Final.pdf" TargetMode="External"/><Relationship Id="rId10" Type="http://schemas.openxmlformats.org/officeDocument/2006/relationships/hyperlink" Target="https://www.edmonton.ca/city_government/%20documents/PDF/%20City_Plan_What%20WeAreHearing_IndigenousEngagement.pdf" TargetMode="External"/><Relationship Id="rId4" Type="http://schemas.openxmlformats.org/officeDocument/2006/relationships/hyperlink" Target="https://www.edmonton.ca/documents/PDF/Rossdale_Historical%20_Land_Use_Study_%20Feb_2004.pdf" TargetMode="External"/><Relationship Id="rId9" Type="http://schemas.openxmlformats.org/officeDocument/2006/relationships/hyperlink" Target="https://muse.jhu.edu/article/59047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7851-3A80-40EE-B639-ADBD738D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20</Pages>
  <Words>4421</Words>
  <Characters>24320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Mark</dc:creator>
  <cp:keywords/>
  <dc:description/>
  <cp:lastModifiedBy>Heather Mark</cp:lastModifiedBy>
  <cp:revision>161</cp:revision>
  <dcterms:created xsi:type="dcterms:W3CDTF">2020-10-10T18:45:00Z</dcterms:created>
  <dcterms:modified xsi:type="dcterms:W3CDTF">2021-07-25T22:44:00Z</dcterms:modified>
</cp:coreProperties>
</file>