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0E25E9" w:rsidRPr="00C517CD" w:rsidRDefault="000E25E9">
      <w:pPr>
        <w:spacing w:line="480" w:lineRule="auto"/>
      </w:pPr>
    </w:p>
    <w:p w14:paraId="00000002" w14:textId="77777777" w:rsidR="000E25E9" w:rsidRPr="00C517CD" w:rsidRDefault="000E25E9">
      <w:pPr>
        <w:spacing w:line="480" w:lineRule="auto"/>
        <w:ind w:left="1080" w:hanging="360"/>
        <w:rPr>
          <w:b/>
        </w:rPr>
      </w:pPr>
    </w:p>
    <w:p w14:paraId="00000003" w14:textId="77777777" w:rsidR="000E25E9" w:rsidRPr="00C517CD" w:rsidRDefault="000E25E9">
      <w:pPr>
        <w:spacing w:line="480" w:lineRule="auto"/>
        <w:ind w:left="720"/>
        <w:rPr>
          <w:b/>
        </w:rPr>
      </w:pPr>
    </w:p>
    <w:p w14:paraId="00000004" w14:textId="77777777" w:rsidR="000E25E9" w:rsidRPr="00C517CD" w:rsidRDefault="000E25E9">
      <w:pPr>
        <w:spacing w:line="480" w:lineRule="auto"/>
        <w:ind w:left="1080" w:hanging="360"/>
        <w:rPr>
          <w:b/>
        </w:rPr>
      </w:pPr>
    </w:p>
    <w:p w14:paraId="00000005" w14:textId="77777777" w:rsidR="000E25E9" w:rsidRPr="00C517CD" w:rsidRDefault="000E25E9">
      <w:pPr>
        <w:spacing w:line="480" w:lineRule="auto"/>
        <w:ind w:left="1080" w:hanging="360"/>
        <w:rPr>
          <w:b/>
        </w:rPr>
      </w:pPr>
    </w:p>
    <w:p w14:paraId="00000006" w14:textId="77BB9C84" w:rsidR="000E25E9" w:rsidRPr="00C517CD" w:rsidRDefault="00A5386A">
      <w:pPr>
        <w:spacing w:before="240" w:after="240" w:line="480" w:lineRule="auto"/>
        <w:jc w:val="center"/>
        <w:rPr>
          <w:b/>
          <w:sz w:val="28"/>
          <w:szCs w:val="28"/>
        </w:rPr>
      </w:pPr>
      <w:r w:rsidRPr="00C517CD">
        <w:rPr>
          <w:b/>
          <w:sz w:val="28"/>
          <w:szCs w:val="28"/>
        </w:rPr>
        <w:t xml:space="preserve">Pasqua First Nation Economic Entitlements </w:t>
      </w:r>
      <w:r w:rsidR="007E75E6" w:rsidRPr="00C517CD">
        <w:rPr>
          <w:b/>
          <w:sz w:val="28"/>
          <w:szCs w:val="28"/>
        </w:rPr>
        <w:t>Final</w:t>
      </w:r>
      <w:r w:rsidRPr="00C517CD">
        <w:rPr>
          <w:b/>
          <w:sz w:val="28"/>
          <w:szCs w:val="28"/>
        </w:rPr>
        <w:t xml:space="preserve"> Report</w:t>
      </w:r>
    </w:p>
    <w:p w14:paraId="00000007" w14:textId="77777777" w:rsidR="000E25E9" w:rsidRPr="00C517CD" w:rsidRDefault="000E25E9">
      <w:pPr>
        <w:spacing w:before="240" w:after="240" w:line="480" w:lineRule="auto"/>
        <w:jc w:val="center"/>
        <w:rPr>
          <w:b/>
          <w:sz w:val="28"/>
          <w:szCs w:val="28"/>
        </w:rPr>
      </w:pPr>
    </w:p>
    <w:p w14:paraId="00000008" w14:textId="77777777" w:rsidR="000E25E9" w:rsidRPr="00C517CD" w:rsidRDefault="000E25E9">
      <w:pPr>
        <w:spacing w:line="480" w:lineRule="auto"/>
        <w:ind w:left="1720" w:hanging="860"/>
        <w:jc w:val="center"/>
        <w:rPr>
          <w:b/>
        </w:rPr>
      </w:pPr>
    </w:p>
    <w:p w14:paraId="00000009" w14:textId="77777777" w:rsidR="000E25E9" w:rsidRPr="00C517CD" w:rsidRDefault="00A5386A">
      <w:pPr>
        <w:spacing w:line="480" w:lineRule="auto"/>
        <w:ind w:left="1080" w:hanging="360"/>
        <w:rPr>
          <w:b/>
        </w:rPr>
      </w:pPr>
      <w:r w:rsidRPr="00C517CD">
        <w:rPr>
          <w:b/>
        </w:rPr>
        <w:t xml:space="preserve"> </w:t>
      </w:r>
    </w:p>
    <w:p w14:paraId="0000000A" w14:textId="77777777" w:rsidR="000E25E9" w:rsidRPr="00C517CD" w:rsidRDefault="00A5386A">
      <w:pPr>
        <w:spacing w:line="480" w:lineRule="auto"/>
        <w:ind w:left="1080" w:hanging="360"/>
        <w:rPr>
          <w:b/>
        </w:rPr>
      </w:pPr>
      <w:r w:rsidRPr="00C517CD">
        <w:rPr>
          <w:b/>
        </w:rPr>
        <w:t xml:space="preserve"> </w:t>
      </w:r>
    </w:p>
    <w:p w14:paraId="0000000B" w14:textId="77777777" w:rsidR="000E25E9" w:rsidRPr="00C517CD" w:rsidRDefault="00A5386A">
      <w:pPr>
        <w:spacing w:line="480" w:lineRule="auto"/>
        <w:ind w:left="1080" w:hanging="360"/>
        <w:rPr>
          <w:b/>
        </w:rPr>
      </w:pPr>
      <w:r w:rsidRPr="00C517CD">
        <w:rPr>
          <w:b/>
        </w:rPr>
        <w:t xml:space="preserve"> </w:t>
      </w:r>
    </w:p>
    <w:p w14:paraId="0000000C" w14:textId="77777777" w:rsidR="000E25E9" w:rsidRPr="00C517CD" w:rsidRDefault="00A5386A">
      <w:pPr>
        <w:spacing w:line="480" w:lineRule="auto"/>
        <w:ind w:left="1080" w:hanging="360"/>
        <w:rPr>
          <w:b/>
        </w:rPr>
      </w:pPr>
      <w:r w:rsidRPr="00C517CD">
        <w:rPr>
          <w:b/>
        </w:rPr>
        <w:t xml:space="preserve"> </w:t>
      </w:r>
    </w:p>
    <w:p w14:paraId="0000000D" w14:textId="77777777" w:rsidR="000E25E9" w:rsidRPr="00C517CD" w:rsidRDefault="000E25E9">
      <w:pPr>
        <w:spacing w:line="480" w:lineRule="auto"/>
        <w:ind w:left="720"/>
        <w:rPr>
          <w:b/>
        </w:rPr>
      </w:pPr>
    </w:p>
    <w:p w14:paraId="0000000E" w14:textId="77777777" w:rsidR="000E25E9" w:rsidRPr="00C517CD" w:rsidRDefault="00A5386A">
      <w:pPr>
        <w:spacing w:line="480" w:lineRule="auto"/>
      </w:pPr>
      <w:r w:rsidRPr="00C517CD">
        <w:rPr>
          <w:b/>
        </w:rPr>
        <w:t xml:space="preserve"> </w:t>
      </w:r>
    </w:p>
    <w:p w14:paraId="00000014" w14:textId="7EC35004" w:rsidR="000E25E9" w:rsidRDefault="000E25E9">
      <w:pPr>
        <w:spacing w:line="480" w:lineRule="auto"/>
        <w:ind w:left="1080" w:hanging="360"/>
        <w:jc w:val="center"/>
      </w:pPr>
    </w:p>
    <w:p w14:paraId="25E19607" w14:textId="5A4545A9" w:rsidR="002557E5" w:rsidRDefault="002557E5">
      <w:pPr>
        <w:spacing w:line="480" w:lineRule="auto"/>
        <w:ind w:left="1080" w:hanging="360"/>
        <w:jc w:val="center"/>
      </w:pPr>
    </w:p>
    <w:p w14:paraId="2E8E4A4C" w14:textId="23C520A6" w:rsidR="002557E5" w:rsidRDefault="002557E5">
      <w:pPr>
        <w:spacing w:line="480" w:lineRule="auto"/>
        <w:ind w:left="1080" w:hanging="360"/>
        <w:jc w:val="center"/>
      </w:pPr>
    </w:p>
    <w:p w14:paraId="5C824E61" w14:textId="0E05C36C" w:rsidR="002557E5" w:rsidRDefault="002557E5">
      <w:pPr>
        <w:spacing w:line="480" w:lineRule="auto"/>
        <w:ind w:left="1080" w:hanging="360"/>
        <w:jc w:val="center"/>
      </w:pPr>
    </w:p>
    <w:p w14:paraId="0E26B418" w14:textId="7DD7B67C" w:rsidR="002557E5" w:rsidRDefault="002557E5">
      <w:pPr>
        <w:spacing w:line="480" w:lineRule="auto"/>
        <w:ind w:left="1080" w:hanging="360"/>
        <w:jc w:val="center"/>
      </w:pPr>
    </w:p>
    <w:p w14:paraId="5780B4F9" w14:textId="77777777" w:rsidR="002557E5" w:rsidRPr="00C517CD" w:rsidRDefault="002557E5">
      <w:pPr>
        <w:spacing w:line="480" w:lineRule="auto"/>
        <w:ind w:left="1080" w:hanging="360"/>
        <w:jc w:val="center"/>
        <w:rPr>
          <w:b/>
        </w:rPr>
      </w:pPr>
    </w:p>
    <w:p w14:paraId="00000015" w14:textId="77777777" w:rsidR="000E25E9" w:rsidRPr="00C517CD" w:rsidRDefault="00A5386A">
      <w:pPr>
        <w:spacing w:line="480" w:lineRule="auto"/>
        <w:ind w:left="1080" w:hanging="360"/>
        <w:rPr>
          <w:b/>
        </w:rPr>
      </w:pPr>
      <w:r w:rsidRPr="00C517CD">
        <w:rPr>
          <w:b/>
        </w:rPr>
        <w:t xml:space="preserve"> </w:t>
      </w:r>
    </w:p>
    <w:p w14:paraId="00000016" w14:textId="77777777" w:rsidR="000E25E9" w:rsidRPr="00C517CD" w:rsidRDefault="000E25E9">
      <w:pPr>
        <w:spacing w:line="480" w:lineRule="auto"/>
        <w:ind w:left="1080" w:hanging="360"/>
        <w:rPr>
          <w:b/>
        </w:rPr>
      </w:pPr>
    </w:p>
    <w:p w14:paraId="0F1C4057" w14:textId="5504026A" w:rsidR="00BA149C" w:rsidRDefault="00BA149C" w:rsidP="00D04E9E">
      <w:pPr>
        <w:spacing w:line="480" w:lineRule="auto"/>
        <w:jc w:val="center"/>
        <w:rPr>
          <w:b/>
        </w:rPr>
      </w:pPr>
      <w:r w:rsidRPr="00C517CD">
        <w:rPr>
          <w:b/>
        </w:rPr>
        <w:lastRenderedPageBreak/>
        <w:t xml:space="preserve">Key Findings </w:t>
      </w:r>
    </w:p>
    <w:p w14:paraId="15DD83C3" w14:textId="77777777" w:rsidR="00D04E9E" w:rsidRPr="00D04E9E" w:rsidRDefault="00D04E9E" w:rsidP="001C77AD">
      <w:pPr>
        <w:jc w:val="center"/>
        <w:rPr>
          <w:bCs/>
        </w:rPr>
      </w:pPr>
    </w:p>
    <w:p w14:paraId="51E8F5E9" w14:textId="76076BA1" w:rsidR="00F152CC" w:rsidRPr="00F152CC" w:rsidRDefault="00F152CC" w:rsidP="00CD154A">
      <w:pPr>
        <w:pStyle w:val="ListParagraph"/>
        <w:numPr>
          <w:ilvl w:val="0"/>
          <w:numId w:val="1"/>
        </w:numPr>
        <w:rPr>
          <w:bCs/>
        </w:rPr>
      </w:pPr>
      <w:r>
        <w:rPr>
          <w:bCs/>
        </w:rPr>
        <w:t xml:space="preserve">The government viewed Treaty 4 as a </w:t>
      </w:r>
      <w:r w:rsidR="006274E2">
        <w:rPr>
          <w:bCs/>
        </w:rPr>
        <w:t>way</w:t>
      </w:r>
      <w:r>
        <w:rPr>
          <w:bCs/>
        </w:rPr>
        <w:t xml:space="preserve"> to seize and secure Indigenous lands for their nation building project. This view differed substantially from the perspective held by Indigenous peoples, as they saw treaties as sa</w:t>
      </w:r>
      <w:r w:rsidR="00D82932">
        <w:rPr>
          <w:bCs/>
        </w:rPr>
        <w:t>c</w:t>
      </w:r>
      <w:r>
        <w:rPr>
          <w:bCs/>
        </w:rPr>
        <w:t xml:space="preserve">red nation to nation agreements that solidified a mutual relationship shared between them and the Crown. </w:t>
      </w:r>
    </w:p>
    <w:p w14:paraId="1AD584AA" w14:textId="73F6D036" w:rsidR="00F152CC" w:rsidRDefault="00D04E9E" w:rsidP="00CD154A">
      <w:pPr>
        <w:pStyle w:val="ListParagraph"/>
        <w:numPr>
          <w:ilvl w:val="0"/>
          <w:numId w:val="1"/>
        </w:numPr>
        <w:rPr>
          <w:bCs/>
        </w:rPr>
      </w:pPr>
      <w:r w:rsidRPr="00D04E9E">
        <w:rPr>
          <w:bCs/>
        </w:rPr>
        <w:t xml:space="preserve">Oral promises made in the negotiation of </w:t>
      </w:r>
      <w:r>
        <w:rPr>
          <w:bCs/>
        </w:rPr>
        <w:t>Treaty 4 were not accounted for in the final written documen</w:t>
      </w:r>
      <w:r w:rsidR="00F152CC">
        <w:rPr>
          <w:bCs/>
        </w:rPr>
        <w:t>t, which caused immense dissatisfaction among bands. In addition, it contributed to feelings of distrust.</w:t>
      </w:r>
    </w:p>
    <w:p w14:paraId="789DA978" w14:textId="3A71AFAB" w:rsidR="00F152CC" w:rsidRPr="00F152CC" w:rsidRDefault="00F152CC" w:rsidP="00CD154A">
      <w:pPr>
        <w:pStyle w:val="ListParagraph"/>
        <w:numPr>
          <w:ilvl w:val="0"/>
          <w:numId w:val="1"/>
        </w:numPr>
        <w:rPr>
          <w:bCs/>
        </w:rPr>
      </w:pPr>
      <w:r w:rsidRPr="00F152CC">
        <w:rPr>
          <w:bCs/>
        </w:rPr>
        <w:t xml:space="preserve">Harmful prejudices held by the government, and thus their employees, often </w:t>
      </w:r>
      <w:r w:rsidR="006274E2">
        <w:rPr>
          <w:bCs/>
        </w:rPr>
        <w:t xml:space="preserve">negatively affected </w:t>
      </w:r>
      <w:r w:rsidRPr="00F152CC">
        <w:rPr>
          <w:bCs/>
        </w:rPr>
        <w:t xml:space="preserve">their judgement in regard to the concerns, anxieties and challenges brought forward by the Treaty 4 signatories. </w:t>
      </w:r>
    </w:p>
    <w:p w14:paraId="3770E608" w14:textId="398C58F0" w:rsidR="00F152CC" w:rsidRDefault="00F152CC" w:rsidP="00CD154A">
      <w:pPr>
        <w:pStyle w:val="ListParagraph"/>
        <w:numPr>
          <w:ilvl w:val="0"/>
          <w:numId w:val="1"/>
        </w:numPr>
        <w:rPr>
          <w:bCs/>
        </w:rPr>
      </w:pPr>
      <w:r>
        <w:rPr>
          <w:bCs/>
        </w:rPr>
        <w:t xml:space="preserve">The inadequate quantity and quality of goods given to Pasquas band had negative impacts on their agricultural success. </w:t>
      </w:r>
    </w:p>
    <w:p w14:paraId="394EE965" w14:textId="137904A4" w:rsidR="00F152CC" w:rsidRDefault="00F152CC" w:rsidP="00CD154A">
      <w:pPr>
        <w:pStyle w:val="ListParagraph"/>
        <w:numPr>
          <w:ilvl w:val="0"/>
          <w:numId w:val="1"/>
        </w:numPr>
        <w:rPr>
          <w:bCs/>
        </w:rPr>
      </w:pPr>
      <w:r>
        <w:rPr>
          <w:bCs/>
        </w:rPr>
        <w:t xml:space="preserve">Blame was constantly cast onto bands for their perceived failures, although climate conditions, the delayed dispersal of seed, and insufficient assistance often contributed to their lack of success. </w:t>
      </w:r>
    </w:p>
    <w:p w14:paraId="60B27982" w14:textId="10FF1BD7" w:rsidR="00F152CC" w:rsidRDefault="00F152CC" w:rsidP="00CD154A">
      <w:pPr>
        <w:pStyle w:val="ListParagraph"/>
        <w:numPr>
          <w:ilvl w:val="0"/>
          <w:numId w:val="1"/>
        </w:numPr>
        <w:rPr>
          <w:bCs/>
        </w:rPr>
      </w:pPr>
      <w:r>
        <w:rPr>
          <w:bCs/>
        </w:rPr>
        <w:t xml:space="preserve">The pictographs created by Pasqua are the only written form of records kept throughout this time period that display an Indigenous perspective, rather than a colonial mindset. These pictographs can be used as a method to ascertain whether Pasquas band received the necessary quantities of implements, provisions and livestock that were stipulated under treaty. </w:t>
      </w:r>
    </w:p>
    <w:p w14:paraId="25DBB0B1" w14:textId="177F4562" w:rsidR="00F152CC" w:rsidRDefault="00F152CC" w:rsidP="00CD154A">
      <w:pPr>
        <w:pStyle w:val="ListParagraph"/>
        <w:numPr>
          <w:ilvl w:val="0"/>
          <w:numId w:val="1"/>
        </w:numPr>
        <w:rPr>
          <w:bCs/>
        </w:rPr>
      </w:pPr>
      <w:r>
        <w:rPr>
          <w:bCs/>
        </w:rPr>
        <w:t xml:space="preserve">Pasquas band received only a small portion of the implements promised to his band, which can be seen in his records. </w:t>
      </w:r>
    </w:p>
    <w:p w14:paraId="446B203E" w14:textId="204B3248" w:rsidR="00F152CC" w:rsidRDefault="00F152CC" w:rsidP="00CD154A">
      <w:pPr>
        <w:pStyle w:val="ListParagraph"/>
        <w:numPr>
          <w:ilvl w:val="0"/>
          <w:numId w:val="1"/>
        </w:numPr>
        <w:rPr>
          <w:bCs/>
        </w:rPr>
      </w:pPr>
      <w:r>
        <w:rPr>
          <w:bCs/>
        </w:rPr>
        <w:t xml:space="preserve">The government took every opportunity to cut down on the expenditures associated with bands. However, this often went against what had been promised in treaty, such as; limiting the allowed number of headmen, strict stipulations put into place for the distribution of goods and strategically delayed annuity payments. </w:t>
      </w:r>
    </w:p>
    <w:p w14:paraId="0BF6E31C" w14:textId="77777777" w:rsidR="00F152CC" w:rsidRDefault="00F152CC" w:rsidP="00CD154A">
      <w:pPr>
        <w:pStyle w:val="ListParagraph"/>
        <w:numPr>
          <w:ilvl w:val="0"/>
          <w:numId w:val="1"/>
        </w:numPr>
        <w:rPr>
          <w:bCs/>
        </w:rPr>
      </w:pPr>
      <w:r>
        <w:rPr>
          <w:bCs/>
        </w:rPr>
        <w:t>The ‘Home Farm Policy/Experiment’ failed substantially due to the overall ignorance of the government.</w:t>
      </w:r>
    </w:p>
    <w:p w14:paraId="7FD4A621" w14:textId="02B0DD55" w:rsidR="00F152CC" w:rsidRDefault="00F152CC" w:rsidP="00CD154A">
      <w:pPr>
        <w:pStyle w:val="ListParagraph"/>
        <w:numPr>
          <w:ilvl w:val="0"/>
          <w:numId w:val="1"/>
        </w:numPr>
        <w:rPr>
          <w:bCs/>
        </w:rPr>
      </w:pPr>
      <w:r>
        <w:rPr>
          <w:bCs/>
        </w:rPr>
        <w:t xml:space="preserve">Throughout the ‘Home Farm Policy’ era, the needs of bands were put on the ‘back burner’ while the government choose to supply farm instructors with the implements, provisions and livestock that were promised to bands through treaty.  </w:t>
      </w:r>
    </w:p>
    <w:p w14:paraId="0E001F63" w14:textId="78EED77E" w:rsidR="00F152CC" w:rsidRDefault="00F152CC" w:rsidP="00CD154A">
      <w:pPr>
        <w:pStyle w:val="ListParagraph"/>
        <w:numPr>
          <w:ilvl w:val="0"/>
          <w:numId w:val="1"/>
        </w:numPr>
        <w:rPr>
          <w:bCs/>
        </w:rPr>
      </w:pPr>
      <w:r>
        <w:rPr>
          <w:bCs/>
        </w:rPr>
        <w:t>The records kept for the years spanning 1879-84 are very limited, as they report the location rather than band</w:t>
      </w:r>
      <w:r w:rsidR="006274E2">
        <w:rPr>
          <w:bCs/>
        </w:rPr>
        <w:t>s</w:t>
      </w:r>
      <w:r>
        <w:rPr>
          <w:bCs/>
        </w:rPr>
        <w:t xml:space="preserve"> that goods and services were distributed to. They do not indicate the quantities of implements, provisions or livestock provided to each of the bands under Treaty 4. </w:t>
      </w:r>
    </w:p>
    <w:p w14:paraId="3B0A1703" w14:textId="3150F774" w:rsidR="006274E2" w:rsidRPr="006274E2" w:rsidRDefault="00F152CC" w:rsidP="00CD154A">
      <w:pPr>
        <w:pStyle w:val="ListParagraph"/>
        <w:numPr>
          <w:ilvl w:val="0"/>
          <w:numId w:val="1"/>
        </w:numPr>
        <w:rPr>
          <w:bCs/>
        </w:rPr>
      </w:pPr>
      <w:r>
        <w:rPr>
          <w:bCs/>
        </w:rPr>
        <w:t>Sickness was a growing challenge for bands on reserves, often being left without medical assistance</w:t>
      </w:r>
      <w:r w:rsidR="006274E2">
        <w:rPr>
          <w:bCs/>
        </w:rPr>
        <w:t xml:space="preserve">. Mortality related due to consumption goes against the promise made in Treaty 4 that liquor would not be allowed on reserves. </w:t>
      </w:r>
    </w:p>
    <w:p w14:paraId="69AF8822" w14:textId="080ECCBD" w:rsidR="00F152CC" w:rsidRDefault="00F152CC" w:rsidP="00CD154A">
      <w:pPr>
        <w:pStyle w:val="ListParagraph"/>
        <w:numPr>
          <w:ilvl w:val="0"/>
          <w:numId w:val="1"/>
        </w:numPr>
        <w:rPr>
          <w:bCs/>
        </w:rPr>
      </w:pPr>
      <w:r>
        <w:rPr>
          <w:bCs/>
        </w:rPr>
        <w:t xml:space="preserve">The private ownership of oxen, securing the necessary agricultural implements and receiving the needed assistance lead to agricultural success on Pasquas reserve. </w:t>
      </w:r>
    </w:p>
    <w:p w14:paraId="1615BF2C" w14:textId="6E93B267" w:rsidR="00056D95" w:rsidRPr="006274E2" w:rsidRDefault="00F152CC" w:rsidP="00CD154A">
      <w:pPr>
        <w:pStyle w:val="ListParagraph"/>
        <w:numPr>
          <w:ilvl w:val="0"/>
          <w:numId w:val="1"/>
        </w:numPr>
        <w:rPr>
          <w:bCs/>
        </w:rPr>
      </w:pPr>
      <w:r>
        <w:rPr>
          <w:bCs/>
        </w:rPr>
        <w:t>Growing fears of an uprising significantly influenced the livelihoods of bands, as it led to strict government stipulations and rules that limited their movement as well as their ability to participate in local economies.</w:t>
      </w:r>
    </w:p>
    <w:p w14:paraId="00000017" w14:textId="36826D15" w:rsidR="000E25E9" w:rsidRPr="00C517CD" w:rsidRDefault="00A5386A">
      <w:pPr>
        <w:spacing w:line="480" w:lineRule="auto"/>
        <w:jc w:val="center"/>
        <w:rPr>
          <w:b/>
        </w:rPr>
      </w:pPr>
      <w:r w:rsidRPr="00C517CD">
        <w:rPr>
          <w:b/>
        </w:rPr>
        <w:lastRenderedPageBreak/>
        <w:t xml:space="preserve">Introduction </w:t>
      </w:r>
    </w:p>
    <w:p w14:paraId="00000018" w14:textId="2F039B05" w:rsidR="000E25E9" w:rsidRPr="00C517CD" w:rsidRDefault="00A5386A">
      <w:pPr>
        <w:spacing w:line="480" w:lineRule="auto"/>
        <w:ind w:firstLine="720"/>
        <w:rPr>
          <w:b/>
        </w:rPr>
      </w:pPr>
      <w:r w:rsidRPr="00C517CD">
        <w:t xml:space="preserve">The </w:t>
      </w:r>
      <w:r w:rsidR="00CE7D4F" w:rsidRPr="00C517CD">
        <w:t>Indigenous</w:t>
      </w:r>
      <w:r w:rsidRPr="00C517CD">
        <w:t xml:space="preserve"> peoples in what is now known as Canada and the Crown signed treaties on a nation to nation basis. These negotiations were c</w:t>
      </w:r>
      <w:r w:rsidR="00AE6C60" w:rsidRPr="00C517CD">
        <w:t xml:space="preserve">ommunicated in </w:t>
      </w:r>
      <w:r w:rsidR="006274E2">
        <w:t xml:space="preserve">a </w:t>
      </w:r>
      <w:r w:rsidR="00AE6C60" w:rsidRPr="00C517CD">
        <w:t xml:space="preserve">manner that gave the illusion </w:t>
      </w:r>
      <w:r w:rsidRPr="00C517CD">
        <w:t>that</w:t>
      </w:r>
      <w:r w:rsidR="00AE6C60" w:rsidRPr="00C517CD">
        <w:t xml:space="preserve"> all parties involved would benefit mutually</w:t>
      </w:r>
      <w:r w:rsidRPr="00C517CD">
        <w:t>.</w:t>
      </w:r>
      <w:r w:rsidRPr="00C517CD">
        <w:rPr>
          <w:rStyle w:val="FootnoteReference"/>
        </w:rPr>
        <w:footnoteReference w:id="1"/>
      </w:r>
      <w:r w:rsidRPr="00C517CD">
        <w:t xml:space="preserve"> However, due to conflicting views held by the two ‘sides,’ the interpretations of treaty negotiations and what was promised through them are vastly different. The validity of written records created by the colonial government often outweigh th</w:t>
      </w:r>
      <w:r w:rsidR="00AE6C60" w:rsidRPr="00C517CD">
        <w:t>e validity</w:t>
      </w:r>
      <w:r w:rsidRPr="00C517CD">
        <w:t xml:space="preserve"> of oral interpretations </w:t>
      </w:r>
      <w:r w:rsidR="00AE6C60" w:rsidRPr="00C517CD">
        <w:t xml:space="preserve">on </w:t>
      </w:r>
      <w:r w:rsidRPr="00C517CD">
        <w:t>what was promised through treaties. Treaty 4 was entered into in 1874 with Plains First Nations, whose ‘initial settlement’</w:t>
      </w:r>
      <w:r w:rsidR="00BA149C" w:rsidRPr="00C517CD">
        <w:t xml:space="preserve"> </w:t>
      </w:r>
      <w:r w:rsidRPr="00C517CD">
        <w:t>era</w:t>
      </w:r>
      <w:r w:rsidR="00BA149C" w:rsidRPr="00C517CD">
        <w:t xml:space="preserve"> and</w:t>
      </w:r>
      <w:r w:rsidRPr="00C517CD">
        <w:t xml:space="preserve"> </w:t>
      </w:r>
      <w:r w:rsidR="00BA149C" w:rsidRPr="00C517CD">
        <w:t xml:space="preserve">‘home farm policy’ era </w:t>
      </w:r>
      <w:r w:rsidRPr="00C517CD">
        <w:t>spanned the years of 1874-79</w:t>
      </w:r>
      <w:r w:rsidR="00BA149C" w:rsidRPr="00C517CD">
        <w:t xml:space="preserve"> and 1880-84 respectively.</w:t>
      </w:r>
      <w:r w:rsidRPr="00C517CD">
        <w:rPr>
          <w:rStyle w:val="FootnoteReference"/>
        </w:rPr>
        <w:footnoteReference w:id="2"/>
      </w:r>
      <w:r w:rsidRPr="00C517CD">
        <w:t xml:space="preserve"> The items promised to and received by Chief Pasqua</w:t>
      </w:r>
      <w:r w:rsidR="004856E6" w:rsidRPr="00C517CD">
        <w:t>’</w:t>
      </w:r>
      <w:r w:rsidRPr="00C517CD">
        <w:t>s band</w:t>
      </w:r>
      <w:r w:rsidR="00D31077" w:rsidRPr="00C517CD">
        <w:t>,</w:t>
      </w:r>
      <w:r w:rsidR="00AE6C60" w:rsidRPr="00C517CD">
        <w:t xml:space="preserve"> </w:t>
      </w:r>
      <w:r w:rsidRPr="00C517CD">
        <w:t xml:space="preserve">included within Treaty 4, will be examined further, arguing that his band did not receive an adequate quantity or quality of goods, nor did they obtain them in a punctual manner. </w:t>
      </w:r>
      <w:r w:rsidR="00BA149C" w:rsidRPr="00C517CD">
        <w:t xml:space="preserve">In </w:t>
      </w:r>
      <w:r w:rsidR="00D31077" w:rsidRPr="00C517CD">
        <w:t>addition</w:t>
      </w:r>
      <w:r w:rsidR="00BA149C" w:rsidRPr="00C517CD">
        <w:t xml:space="preserve">, many </w:t>
      </w:r>
      <w:r w:rsidR="00546390" w:rsidRPr="00C517CD">
        <w:t>government reports</w:t>
      </w:r>
      <w:r w:rsidR="00BA149C" w:rsidRPr="00C517CD">
        <w:t xml:space="preserve"> </w:t>
      </w:r>
      <w:r w:rsidR="00546390" w:rsidRPr="00C517CD">
        <w:t xml:space="preserve">excluded vital information needed </w:t>
      </w:r>
      <w:r w:rsidR="006274E2">
        <w:t>to</w:t>
      </w:r>
      <w:r w:rsidR="00D04E9E">
        <w:t xml:space="preserve"> definitively ascertain whether Chief Pasquas band received the appropriate amount of provisions, implements </w:t>
      </w:r>
      <w:r w:rsidR="006274E2">
        <w:t>and</w:t>
      </w:r>
      <w:r w:rsidR="00D04E9E">
        <w:t xml:space="preserve"> livestock stipulated in Treaty 4. </w:t>
      </w:r>
      <w:r w:rsidRPr="00C517CD">
        <w:t>All of these contributing factors had an influence in the overall success of Pasquas band</w:t>
      </w:r>
      <w:r w:rsidR="00D04E9E">
        <w:t xml:space="preserve">, although the government often cast blame solely onto bands for their perceived failures. </w:t>
      </w:r>
    </w:p>
    <w:p w14:paraId="00000019" w14:textId="77777777" w:rsidR="000E25E9" w:rsidRPr="00C517CD" w:rsidRDefault="00A5386A" w:rsidP="00D31077">
      <w:pPr>
        <w:spacing w:line="480" w:lineRule="auto"/>
        <w:jc w:val="center"/>
        <w:rPr>
          <w:b/>
        </w:rPr>
      </w:pPr>
      <w:r w:rsidRPr="00C517CD">
        <w:rPr>
          <w:b/>
        </w:rPr>
        <w:t xml:space="preserve">Historical Background </w:t>
      </w:r>
    </w:p>
    <w:p w14:paraId="0000001A" w14:textId="2B5E5F76" w:rsidR="000E25E9" w:rsidRPr="00C517CD" w:rsidRDefault="00A5386A" w:rsidP="00B4279B">
      <w:pPr>
        <w:spacing w:line="480" w:lineRule="auto"/>
        <w:ind w:firstLine="720"/>
        <w:rPr>
          <w:rFonts w:eastAsia="Arial"/>
          <w:sz w:val="22"/>
          <w:szCs w:val="22"/>
        </w:rPr>
      </w:pPr>
      <w:r w:rsidRPr="00C517CD">
        <w:t xml:space="preserve">The Dominion of Canada sought to expand their boundaries in 1870. The purchase of Rupert's </w:t>
      </w:r>
      <w:r w:rsidR="00D31077" w:rsidRPr="00C517CD">
        <w:t>L</w:t>
      </w:r>
      <w:r w:rsidRPr="00C517CD">
        <w:t xml:space="preserve">and and the Northwestern territory from the Hudson's Bay Company (HBC) for </w:t>
      </w:r>
      <w:r w:rsidR="00D31077" w:rsidRPr="00C517CD">
        <w:rPr>
          <w:color w:val="111111"/>
          <w:shd w:val="clear" w:color="auto" w:fill="FFFFFF"/>
        </w:rPr>
        <w:t>£</w:t>
      </w:r>
      <w:r w:rsidRPr="00C517CD">
        <w:t xml:space="preserve">300,000 was done without prior consultation with Indigenous tribes. The dismissal of Metis and Indigenous rights to their territories led to the Red River rebellion in which Louis Riel led an </w:t>
      </w:r>
      <w:r w:rsidRPr="00C517CD">
        <w:lastRenderedPageBreak/>
        <w:t xml:space="preserve">uprising in the Red River Colony, leading to the ‘creation’ of the small province of Manitoba. In the years approaching the signing of Treaty 4, fears increased </w:t>
      </w:r>
      <w:r w:rsidR="00AE6C60" w:rsidRPr="00C517CD">
        <w:t xml:space="preserve">due to </w:t>
      </w:r>
      <w:r w:rsidRPr="00C517CD">
        <w:t>the drastic decline in the ecological base Plains First Nations relied upon for both substance and economic stability.</w:t>
      </w:r>
      <w:r w:rsidRPr="00C517CD">
        <w:rPr>
          <w:rStyle w:val="FootnoteReference"/>
        </w:rPr>
        <w:footnoteReference w:id="3"/>
      </w:r>
      <w:r w:rsidRPr="00C517CD">
        <w:t xml:space="preserve"> In the beginning of the 1870s, the government of John A Mac</w:t>
      </w:r>
      <w:r w:rsidR="00D31077" w:rsidRPr="00C517CD">
        <w:t>d</w:t>
      </w:r>
      <w:r w:rsidRPr="00C517CD">
        <w:t>onald sought to obtain ‘Indian land title</w:t>
      </w:r>
      <w:r w:rsidR="00AE6C60" w:rsidRPr="00C517CD">
        <w:t>’</w:t>
      </w:r>
      <w:r w:rsidRPr="00C517CD">
        <w:t xml:space="preserve"> through legal surrenders, which led to the negotiations of treaties one, signed in 1871, through 8, signed in 1899. Initially, the Canadian government was not interested in negotiating treaties with </w:t>
      </w:r>
      <w:r w:rsidR="00AE6C60" w:rsidRPr="00C517CD">
        <w:t>I</w:t>
      </w:r>
      <w:r w:rsidRPr="00C517CD">
        <w:t>ndigenous groups further west, as there was no pressure for settlement in those areas at that time. However, Treaty Commissioner and Lieut-Governor of the North-West Territories, Alexander Morris, was well aware of the anxieties that these groups had</w:t>
      </w:r>
      <w:r w:rsidR="00AE6C60" w:rsidRPr="00C517CD">
        <w:t xml:space="preserve"> that was </w:t>
      </w:r>
      <w:r w:rsidR="00CE7D4F" w:rsidRPr="00C517CD">
        <w:t>fueled</w:t>
      </w:r>
      <w:r w:rsidRPr="00C517CD">
        <w:t xml:space="preserve"> by the depletion of resources</w:t>
      </w:r>
      <w:r w:rsidR="00AE6C60" w:rsidRPr="00C517CD">
        <w:t xml:space="preserve">, </w:t>
      </w:r>
      <w:r w:rsidRPr="00C517CD">
        <w:t>as well as worries of white settlement encroaching on their lands.</w:t>
      </w:r>
      <w:r w:rsidRPr="00C517CD">
        <w:rPr>
          <w:rStyle w:val="FootnoteReference"/>
        </w:rPr>
        <w:footnoteReference w:id="4"/>
      </w:r>
      <w:r w:rsidRPr="00C517CD">
        <w:t xml:space="preserve"> These factors pushed Morris to act on behalf of the Plains First Nations, pressuring the government to extend treaty negotiations with Indigenous peoples in what is now known as Treaty 4 territory.</w:t>
      </w:r>
      <w:r w:rsidRPr="00C517CD">
        <w:rPr>
          <w:rStyle w:val="FootnoteReference"/>
        </w:rPr>
        <w:footnoteReference w:id="5"/>
      </w:r>
      <w:r w:rsidRPr="00C517CD">
        <w:t xml:space="preserve"> </w:t>
      </w:r>
    </w:p>
    <w:p w14:paraId="0000001B" w14:textId="77777777" w:rsidR="000E25E9" w:rsidRPr="00C517CD" w:rsidRDefault="00A5386A">
      <w:pPr>
        <w:spacing w:line="480" w:lineRule="auto"/>
        <w:jc w:val="center"/>
      </w:pPr>
      <w:r w:rsidRPr="00C517CD">
        <w:rPr>
          <w:b/>
        </w:rPr>
        <w:t>The making of Treaty Four</w:t>
      </w:r>
    </w:p>
    <w:p w14:paraId="0000001C" w14:textId="6A061A9A" w:rsidR="000E25E9" w:rsidRPr="00C517CD" w:rsidRDefault="00A5386A">
      <w:pPr>
        <w:spacing w:line="480" w:lineRule="auto"/>
        <w:ind w:firstLine="720"/>
      </w:pPr>
      <w:r w:rsidRPr="00C517CD">
        <w:t>3,000 people met at Fort Qu’Appelle in September of 1874 and were present at the signing of Treaty 4.</w:t>
      </w:r>
      <w:r w:rsidRPr="00C517CD">
        <w:rPr>
          <w:rStyle w:val="FootnoteReference"/>
        </w:rPr>
        <w:footnoteReference w:id="6"/>
      </w:r>
      <w:r w:rsidRPr="00C517CD">
        <w:t xml:space="preserve"> Among the attendees was Alexander Morris, David Laird, a Treaty 4 Commissioner, Indian Superintendent and Lieutenant Governor of the North-West Territories, along with William J. Christie, whose position was a</w:t>
      </w:r>
      <w:r w:rsidR="008E2E72" w:rsidRPr="00C517CD">
        <w:t>s an</w:t>
      </w:r>
      <w:r w:rsidRPr="00C517CD">
        <w:t xml:space="preserve"> HBC Chief Factor as well as another </w:t>
      </w:r>
      <w:r w:rsidRPr="00C517CD">
        <w:lastRenderedPageBreak/>
        <w:t>Treaty 4 Commissioner.</w:t>
      </w:r>
      <w:r w:rsidRPr="00C517CD">
        <w:rPr>
          <w:rStyle w:val="FootnoteReference"/>
        </w:rPr>
        <w:footnoteReference w:id="7"/>
      </w:r>
      <w:r w:rsidRPr="00C517CD">
        <w:t xml:space="preserve"> This treaty covers the area of what is now known as Saskatchewan, south of the South Saskatchewan River, and extends slightly into both Alberta and Manitoba.</w:t>
      </w:r>
      <w:r w:rsidRPr="00C517CD">
        <w:rPr>
          <w:rStyle w:val="FootnoteReference"/>
        </w:rPr>
        <w:footnoteReference w:id="8"/>
      </w:r>
      <w:r w:rsidRPr="00C517CD">
        <w:t xml:space="preserve"> The void left by the HBC after the selling of </w:t>
      </w:r>
      <w:r w:rsidR="00CE7D4F" w:rsidRPr="00C517CD">
        <w:t>Rupert’s</w:t>
      </w:r>
      <w:r w:rsidRPr="00C517CD">
        <w:t xml:space="preserve"> Land to the Crown was filled by events surrounding the Red River Rebellion, lawless traders, alcohol, violence, and the last large-scale smallpox outbreak. In addition to these factors, growing fears of hunger caused by food shortages played a substantial role in the negotiations and signing of Treaty 4.</w:t>
      </w:r>
      <w:r w:rsidRPr="00C517CD">
        <w:rPr>
          <w:rStyle w:val="FootnoteReference"/>
        </w:rPr>
        <w:footnoteReference w:id="9"/>
      </w:r>
      <w:r w:rsidRPr="00C517CD">
        <w:t xml:space="preserve"> Although initially reluctant, the government finally agreed to extend treaties west after raising tensions and anxiety from the Cypress Hills Massacre, along with the creation of the Northwest Mounted Police (NWMP).</w:t>
      </w:r>
      <w:r w:rsidRPr="00C517CD">
        <w:rPr>
          <w:rStyle w:val="FootnoteReference"/>
        </w:rPr>
        <w:footnoteReference w:id="10"/>
      </w:r>
      <w:r w:rsidRPr="00C517CD">
        <w:t xml:space="preserve"> The Indigenous tribes of this area were fully aware of the shifts that would have to be made in their ways of living, transitioning from a higher reliance on hunting to agriculture. At this </w:t>
      </w:r>
      <w:r w:rsidR="00CE7D4F" w:rsidRPr="00C517CD">
        <w:t>time,</w:t>
      </w:r>
      <w:r w:rsidRPr="00C517CD">
        <w:t xml:space="preserve"> they acknowledged that they would require government assistance to successfully do so.</w:t>
      </w:r>
      <w:r w:rsidRPr="00C517CD">
        <w:rPr>
          <w:rStyle w:val="FootnoteReference"/>
        </w:rPr>
        <w:footnoteReference w:id="11"/>
      </w:r>
      <w:r w:rsidRPr="00C517CD">
        <w:t xml:space="preserve"> </w:t>
      </w:r>
    </w:p>
    <w:p w14:paraId="0000001D" w14:textId="64EFA151" w:rsidR="000E25E9" w:rsidRPr="00C517CD" w:rsidRDefault="00A5386A">
      <w:pPr>
        <w:spacing w:line="480" w:lineRule="auto"/>
        <w:ind w:firstLine="720"/>
      </w:pPr>
      <w:r w:rsidRPr="00C517CD">
        <w:t>The negotiations of Treaty 4 differed from those of Treaty 3, as the former was created as a means of supporting settlement and peace, while the latter was created to secure the presence of the Canadian military and the safety of travelers.</w:t>
      </w:r>
      <w:r w:rsidRPr="00C517CD">
        <w:rPr>
          <w:rStyle w:val="FootnoteReference"/>
        </w:rPr>
        <w:footnoteReference w:id="12"/>
      </w:r>
      <w:r w:rsidRPr="00C517CD">
        <w:t xml:space="preserve"> The chiefs of Treaty 4 requested that they be given the same treaty negotiated by the members of Treaty 3. </w:t>
      </w:r>
      <w:r w:rsidR="00CE7D4F" w:rsidRPr="00C517CD">
        <w:t>However, Morris did not comply fully with this request, as he thought their population size was substantially smaller.</w:t>
      </w:r>
      <w:r w:rsidR="00CE7D4F" w:rsidRPr="00C517CD">
        <w:rPr>
          <w:rStyle w:val="FootnoteReference"/>
        </w:rPr>
        <w:footnoteReference w:id="13"/>
      </w:r>
      <w:r w:rsidR="00CE7D4F" w:rsidRPr="00C517CD">
        <w:t xml:space="preserve"> </w:t>
      </w:r>
      <w:r w:rsidR="00CE7D4F" w:rsidRPr="00C517CD">
        <w:lastRenderedPageBreak/>
        <w:t xml:space="preserve">Although many members and chiefs of the Plains bands were present, it has been estimated that nearly half of the Indigenous population either did not attend or refused to sign the treaty at that time. </w:t>
      </w:r>
      <w:r w:rsidRPr="00C517CD">
        <w:t xml:space="preserve">This led to a lack of awareness, on the government's side, of </w:t>
      </w:r>
      <w:r w:rsidR="00CE7D4F" w:rsidRPr="00C517CD">
        <w:t>the population</w:t>
      </w:r>
      <w:r w:rsidRPr="00C517CD">
        <w:t xml:space="preserve"> sizes of bands, which in turn led to issues in the dispersal of treaty annuities.</w:t>
      </w:r>
      <w:r w:rsidRPr="00C517CD">
        <w:rPr>
          <w:rStyle w:val="FootnoteReference"/>
        </w:rPr>
        <w:footnoteReference w:id="14"/>
      </w:r>
    </w:p>
    <w:p w14:paraId="0000001E" w14:textId="253EC45E" w:rsidR="000E25E9" w:rsidRPr="00C517CD" w:rsidRDefault="00A5386A">
      <w:pPr>
        <w:spacing w:line="480" w:lineRule="auto"/>
        <w:ind w:firstLine="720"/>
      </w:pPr>
      <w:r w:rsidRPr="00C517CD">
        <w:t xml:space="preserve">Throughout the negotiations, it is noted that there was tension between the Cree and Saulteaux Nations. However, much of these perceived tensions were actually directed towards the HBC. The Cree and Saulteaux were unsure whether they could trust the Canadian government to </w:t>
      </w:r>
      <w:r w:rsidR="00CE7D4F" w:rsidRPr="00C517CD">
        <w:t>honor</w:t>
      </w:r>
      <w:r w:rsidRPr="00C517CD">
        <w:t xml:space="preserve"> the treaty relationships that they sought.</w:t>
      </w:r>
      <w:r w:rsidRPr="00C517CD">
        <w:rPr>
          <w:rStyle w:val="FootnoteReference"/>
        </w:rPr>
        <w:footnoteReference w:id="15"/>
      </w:r>
      <w:r w:rsidRPr="00C517CD">
        <w:t xml:space="preserve"> Chief Pasqua was one of the most prominent and informed</w:t>
      </w:r>
      <w:r w:rsidR="008E2E72" w:rsidRPr="00C517CD">
        <w:t xml:space="preserve"> c</w:t>
      </w:r>
      <w:r w:rsidRPr="00C517CD">
        <w:t>hiefs that partook in the Treaty 4 negotiations, as he had prior experience with both agricultural and sedentary living.</w:t>
      </w:r>
      <w:r w:rsidRPr="00C517CD">
        <w:rPr>
          <w:rStyle w:val="FootnoteReference"/>
        </w:rPr>
        <w:footnoteReference w:id="16"/>
      </w:r>
      <w:r w:rsidRPr="00C517CD">
        <w:t xml:space="preserve"> Pasqua is noted to have stated an issue that many chiefs viewed as substantial in the negotiation process. He questioned the manner in which their lands were sold to the Crown and the profit that the HBC made from this, as it was done without the surrender of Aboriginal title, and thus, without their consultation.</w:t>
      </w:r>
      <w:r w:rsidRPr="00C517CD">
        <w:rPr>
          <w:rStyle w:val="FootnoteReference"/>
        </w:rPr>
        <w:footnoteReference w:id="17"/>
      </w:r>
      <w:r w:rsidRPr="00C517CD">
        <w:t xml:space="preserve"> In addition, throughout the treaty negotiations, the presence of the military was viewed as a “coercive threat” by the Cree and Saulteaux Nations.</w:t>
      </w:r>
      <w:r w:rsidRPr="00C517CD">
        <w:rPr>
          <w:rStyle w:val="FootnoteReference"/>
        </w:rPr>
        <w:footnoteReference w:id="18"/>
      </w:r>
    </w:p>
    <w:p w14:paraId="0000001F" w14:textId="7805F701" w:rsidR="000E25E9" w:rsidRPr="00C517CD" w:rsidRDefault="00A5386A" w:rsidP="00D31077">
      <w:pPr>
        <w:spacing w:line="480" w:lineRule="auto"/>
        <w:ind w:firstLine="720"/>
      </w:pPr>
      <w:r w:rsidRPr="00C517CD">
        <w:t xml:space="preserve">It is said </w:t>
      </w:r>
      <w:r w:rsidR="00F152CC">
        <w:t xml:space="preserve">by Morris </w:t>
      </w:r>
      <w:r w:rsidRPr="00C517CD">
        <w:t>in the negotiations that “the company may have little more money than the white traders, or the Half-breeds, or the Indians, but they have no more right, they have no more privileges to trade than the Indians, or the Half-breeds, or the whites.”</w:t>
      </w:r>
      <w:r w:rsidRPr="00C517CD">
        <w:rPr>
          <w:rStyle w:val="FootnoteReference"/>
        </w:rPr>
        <w:footnoteReference w:id="19"/>
      </w:r>
      <w:r w:rsidRPr="00C517CD">
        <w:t xml:space="preserve"> This passage highlights that mutual rights and privileges were orally promised and assured throughout the </w:t>
      </w:r>
      <w:r w:rsidRPr="00C517CD">
        <w:lastRenderedPageBreak/>
        <w:t xml:space="preserve">negotiations of Treaty 4. In the written form of Treaty 4 it stipulates that bands were to receive the following: </w:t>
      </w:r>
    </w:p>
    <w:p w14:paraId="00000020" w14:textId="77777777" w:rsidR="000E25E9" w:rsidRPr="00C517CD" w:rsidRDefault="000E25E9">
      <w:pPr>
        <w:ind w:left="720"/>
        <w:rPr>
          <w:highlight w:val="white"/>
        </w:rPr>
      </w:pPr>
    </w:p>
    <w:p w14:paraId="00000021" w14:textId="77777777" w:rsidR="000E25E9" w:rsidRPr="00C517CD" w:rsidRDefault="00A5386A">
      <w:pPr>
        <w:ind w:left="720"/>
        <w:rPr>
          <w:highlight w:val="white"/>
        </w:rPr>
      </w:pPr>
      <w:r w:rsidRPr="00C517CD">
        <w:rPr>
          <w:highlight w:val="white"/>
        </w:rPr>
        <w:t>Reserves of one square mile [be given to] every five persons; annuities of $25 for a chief, plus coat and medal, a $15 annuity per headman, and a $5 annuity for each individual; a suit of clothing every three years per chief; blankets, calicoes and British flag (given once); $750 worth of powder, shot and twine annually; two hoes, a spade, scythe, axe and seed per family; a plough and two harrows per ten families; oxen, a bull, four cows, carpenter’s tools, five hand saws, five augers, a crosscut saw, a pit saw and a grindstone per chief; there was to be a school on the reserve; no liquor was to be allowed; and hunting, fishing and trapping rights would be respected.</w:t>
      </w:r>
      <w:r w:rsidRPr="00C517CD">
        <w:rPr>
          <w:rStyle w:val="FootnoteReference"/>
          <w:highlight w:val="white"/>
        </w:rPr>
        <w:footnoteReference w:id="20"/>
      </w:r>
      <w:r w:rsidRPr="00C517CD">
        <w:rPr>
          <w:highlight w:val="white"/>
        </w:rPr>
        <w:t xml:space="preserve"> </w:t>
      </w:r>
    </w:p>
    <w:p w14:paraId="00000022" w14:textId="77777777" w:rsidR="000E25E9" w:rsidRPr="00C517CD" w:rsidRDefault="000E25E9">
      <w:pPr>
        <w:ind w:left="720"/>
        <w:rPr>
          <w:highlight w:val="white"/>
        </w:rPr>
      </w:pPr>
    </w:p>
    <w:p w14:paraId="00000023" w14:textId="3D586A51" w:rsidR="000E25E9" w:rsidRPr="00C517CD" w:rsidRDefault="00A5386A">
      <w:pPr>
        <w:spacing w:line="480" w:lineRule="auto"/>
      </w:pPr>
      <w:r w:rsidRPr="00C517CD">
        <w:t xml:space="preserve">It was and continues to be in the opinion of the government, that the written text was the most accurate interpretation of the treaty and as such they dismissed claims of oral promises. The crown was not obligated to “enforce a mutually acceptable </w:t>
      </w:r>
      <w:r w:rsidR="00CE7D4F" w:rsidRPr="00C517CD">
        <w:t>interpretation” of</w:t>
      </w:r>
      <w:r w:rsidRPr="00C517CD">
        <w:t xml:space="preserve"> their duties.</w:t>
      </w:r>
      <w:r w:rsidRPr="00C517CD">
        <w:rPr>
          <w:rStyle w:val="FootnoteReference"/>
        </w:rPr>
        <w:footnoteReference w:id="21"/>
      </w:r>
    </w:p>
    <w:p w14:paraId="00000024" w14:textId="77777777" w:rsidR="000E25E9" w:rsidRPr="00C517CD" w:rsidRDefault="00A5386A">
      <w:pPr>
        <w:spacing w:line="480" w:lineRule="auto"/>
        <w:jc w:val="center"/>
        <w:rPr>
          <w:b/>
        </w:rPr>
      </w:pPr>
      <w:r w:rsidRPr="00C517CD">
        <w:rPr>
          <w:b/>
        </w:rPr>
        <w:t xml:space="preserve">Differing Interpretations of Treaty Four </w:t>
      </w:r>
    </w:p>
    <w:p w14:paraId="00000025" w14:textId="7E5F3C59" w:rsidR="000E25E9" w:rsidRPr="00C517CD" w:rsidRDefault="00A5386A">
      <w:pPr>
        <w:spacing w:line="480" w:lineRule="auto"/>
        <w:ind w:firstLine="720"/>
      </w:pPr>
      <w:r w:rsidRPr="00C517CD">
        <w:t>The different interpretations of Treaty 4 become evident in W.J. Christie and Secretary to Alexander Morris and Indian Agent, M.G. Dickiesons, 1875 letter.</w:t>
      </w:r>
      <w:r w:rsidRPr="00C517CD">
        <w:rPr>
          <w:rStyle w:val="FootnoteReference"/>
        </w:rPr>
        <w:footnoteReference w:id="22"/>
      </w:r>
      <w:r w:rsidRPr="00C517CD">
        <w:t xml:space="preserve"> Through their letter</w:t>
      </w:r>
      <w:r w:rsidR="00F152CC">
        <w:t>,</w:t>
      </w:r>
      <w:r w:rsidRPr="00C517CD">
        <w:t xml:space="preserve"> they discuss a conversation </w:t>
      </w:r>
      <w:r w:rsidR="00D31077" w:rsidRPr="00C517CD">
        <w:t xml:space="preserve">they </w:t>
      </w:r>
      <w:r w:rsidRPr="00C517CD">
        <w:t>had with “Indians” who perceived the initial treaty negotiations as a method to lay the groundwork for a final agreement.</w:t>
      </w:r>
      <w:r w:rsidR="008E2E72" w:rsidRPr="00C517CD">
        <w:rPr>
          <w:vertAlign w:val="superscript"/>
        </w:rPr>
        <w:t xml:space="preserve"> </w:t>
      </w:r>
      <w:r w:rsidR="008E2E72" w:rsidRPr="00C517CD">
        <w:rPr>
          <w:rStyle w:val="FootnoteReference"/>
        </w:rPr>
        <w:footnoteReference w:id="23"/>
      </w:r>
      <w:r w:rsidRPr="00C517CD">
        <w:t xml:space="preserve"> A number of Plains First Nations chiefs were not part of the negotiations in 1874</w:t>
      </w:r>
      <w:r w:rsidR="008E2E72" w:rsidRPr="00C517CD">
        <w:t>,</w:t>
      </w:r>
      <w:r w:rsidRPr="00C517CD">
        <w:t xml:space="preserve"> and since their voices and opinions were not heard, they believed that the treaty had not been concluded. However, </w:t>
      </w:r>
      <w:r w:rsidR="00F152CC">
        <w:t xml:space="preserve">Christie and </w:t>
      </w:r>
      <w:r w:rsidR="006274E2">
        <w:t>Dickieson</w:t>
      </w:r>
      <w:r w:rsidR="00F152CC">
        <w:t xml:space="preserve"> wrote that they</w:t>
      </w:r>
      <w:r w:rsidR="00D31077" w:rsidRPr="00C517CD">
        <w:t xml:space="preserve"> </w:t>
      </w:r>
      <w:r w:rsidRPr="00C517CD">
        <w:t xml:space="preserve">refuted this claim by threatening to revoke the treaty agreement. They further stated that the </w:t>
      </w:r>
      <w:r w:rsidRPr="00C517CD">
        <w:lastRenderedPageBreak/>
        <w:t>Treaty 4 bands would only be given what was agreed upon and recorded in the written document.</w:t>
      </w:r>
      <w:r w:rsidRPr="00C517CD">
        <w:rPr>
          <w:rStyle w:val="FootnoteReference"/>
        </w:rPr>
        <w:footnoteReference w:id="24"/>
      </w:r>
    </w:p>
    <w:p w14:paraId="00000026" w14:textId="288B9350" w:rsidR="000E25E9" w:rsidRPr="00C517CD" w:rsidRDefault="00A5386A">
      <w:pPr>
        <w:spacing w:line="480" w:lineRule="auto"/>
        <w:ind w:firstLine="720"/>
      </w:pPr>
      <w:r w:rsidRPr="00C517CD">
        <w:t>Alexander Morris</w:t>
      </w:r>
      <w:r w:rsidR="00D04E9E">
        <w:t xml:space="preserve"> recorded an encounter that he had with Chief Pasqua in a meeting held in 1876.</w:t>
      </w:r>
      <w:r w:rsidRPr="00C517CD">
        <w:t xml:space="preserve"> This letter highlights the different interpretations of what was promised and understood, pointing to oral promises that were made but not written down. This is argued by Pasqua as he “asserted that [the crown] had promised to feed the Indians for twenty years,” and that he did not hand over his land when he had signed the treaty. Morris declined Pasquas assertions as well as his request for food for his people, upon discovering that the band had already received cattle from </w:t>
      </w:r>
      <w:r w:rsidR="00CE7D4F" w:rsidRPr="00C517CD">
        <w:t>Mr. Christie</w:t>
      </w:r>
      <w:r w:rsidRPr="00C517CD">
        <w:t>, although the amount is unclear in this letter. Morris also indicated that he was aware of the different interpretations of the treaties and the challenges that would be associated with this.</w:t>
      </w:r>
      <w:r w:rsidRPr="00C517CD">
        <w:rPr>
          <w:rStyle w:val="FootnoteReference"/>
        </w:rPr>
        <w:footnoteReference w:id="25"/>
      </w:r>
      <w:r w:rsidRPr="00C517CD">
        <w:t xml:space="preserve"> To both Morris and the </w:t>
      </w:r>
      <w:r w:rsidR="006274E2">
        <w:t>C</w:t>
      </w:r>
      <w:r w:rsidRPr="00C517CD">
        <w:t>rown, the signatures gathered on September 15th</w:t>
      </w:r>
      <w:r w:rsidR="00CE7D4F" w:rsidRPr="00C517CD">
        <w:t>, 1874</w:t>
      </w:r>
      <w:r w:rsidRPr="00C517CD">
        <w:t xml:space="preserve"> signified the end of treaty negotiations. However, misunderstandings of Treaty 4 were not resolved and therefore Indigenous leaders believed that they would be reassessed in the future.</w:t>
      </w:r>
      <w:r w:rsidRPr="00C517CD">
        <w:rPr>
          <w:rStyle w:val="FootnoteReference"/>
        </w:rPr>
        <w:footnoteReference w:id="26"/>
      </w:r>
      <w:r w:rsidRPr="00C517CD">
        <w:t xml:space="preserve"> </w:t>
      </w:r>
    </w:p>
    <w:p w14:paraId="00000027" w14:textId="540E06BE" w:rsidR="000E25E9" w:rsidRPr="00C517CD" w:rsidRDefault="00A5386A">
      <w:pPr>
        <w:spacing w:line="480" w:lineRule="auto"/>
        <w:ind w:firstLine="720"/>
      </w:pPr>
      <w:r w:rsidRPr="00C517CD">
        <w:t>The many chiefs involved in the treaty making process went into negotiations with the assumption that their traditions and beliefs would be protected and respected. Additionally, it was important to them that not only their rights and livelihoods were protected, but those of future generations were as well.</w:t>
      </w:r>
      <w:r w:rsidRPr="00C517CD">
        <w:rPr>
          <w:rStyle w:val="FootnoteReference"/>
        </w:rPr>
        <w:footnoteReference w:id="27"/>
      </w:r>
      <w:r w:rsidRPr="00C517CD">
        <w:t xml:space="preserve"> This was acknowledged by Morris as he stated in the negotiations that “[w]hat I have to talk about concerns you, your children and their children, who are yet unborn.”</w:t>
      </w:r>
      <w:r w:rsidRPr="00C517CD">
        <w:rPr>
          <w:rStyle w:val="FootnoteReference"/>
        </w:rPr>
        <w:footnoteReference w:id="28"/>
      </w:r>
      <w:r w:rsidRPr="00C517CD">
        <w:t xml:space="preserve"> Another significant consideration that must be taken into account is the mistranslations of the desires shared by both sides. This can be seen in the miscommunication of </w:t>
      </w:r>
      <w:r w:rsidRPr="00C517CD">
        <w:lastRenderedPageBreak/>
        <w:t xml:space="preserve">literal and metaphorical interpretations, displayed in Treaty 6 talks between Alexander Morris and Cree Chief Big Bear in regard to the </w:t>
      </w:r>
      <w:r w:rsidR="00CE7D4F" w:rsidRPr="00C517CD">
        <w:t>chief’s</w:t>
      </w:r>
      <w:r w:rsidRPr="00C517CD">
        <w:t xml:space="preserve"> fears of having a rope around his neck.</w:t>
      </w:r>
      <w:r w:rsidRPr="00C517CD">
        <w:rPr>
          <w:rStyle w:val="FootnoteReference"/>
        </w:rPr>
        <w:footnoteReference w:id="29"/>
      </w:r>
    </w:p>
    <w:p w14:paraId="00000028" w14:textId="6A3C73DD" w:rsidR="000E25E9" w:rsidRDefault="00A5386A">
      <w:pPr>
        <w:spacing w:line="480" w:lineRule="auto"/>
        <w:ind w:firstLine="720"/>
      </w:pPr>
      <w:r w:rsidRPr="00C517CD">
        <w:t>The pictographs created by Pasqua can aid in the overall understanding of the opinions shared among the chiefs of Plains Nations.</w:t>
      </w:r>
      <w:r w:rsidRPr="00C517CD">
        <w:rPr>
          <w:rStyle w:val="FootnoteReference"/>
        </w:rPr>
        <w:footnoteReference w:id="30"/>
      </w:r>
      <w:r w:rsidRPr="00C517CD">
        <w:t xml:space="preserve"> Chief Pasquas pictographs provide insight into the perspectives and understandings of Indigenous peoples in regard to the signing and negotiation of</w:t>
      </w:r>
      <w:r w:rsidR="002D6F4F" w:rsidRPr="00C517CD">
        <w:t xml:space="preserve"> T</w:t>
      </w:r>
      <w:r w:rsidRPr="00C517CD">
        <w:t>reaty</w:t>
      </w:r>
      <w:r w:rsidR="002D6F4F" w:rsidRPr="00C517CD">
        <w:t xml:space="preserve"> 4</w:t>
      </w:r>
      <w:r w:rsidRPr="00C517CD">
        <w:t xml:space="preserve">. He also used his </w:t>
      </w:r>
      <w:r w:rsidR="00CE7D4F" w:rsidRPr="00C517CD">
        <w:t>pictographs</w:t>
      </w:r>
      <w:r w:rsidRPr="00C517CD">
        <w:t xml:space="preserve"> as a method to record what his band had received from the Crown. As historian Bob Beal indicates, these pictographs are the only written representation of Indigenous understanding</w:t>
      </w:r>
      <w:r w:rsidR="002D6F4F" w:rsidRPr="00C517CD">
        <w:t xml:space="preserve">s </w:t>
      </w:r>
      <w:r w:rsidRPr="00C517CD">
        <w:t>of the agreements and events in relation to Treaty 4 that ha</w:t>
      </w:r>
      <w:r w:rsidR="002D6F4F" w:rsidRPr="00C517CD">
        <w:t>d</w:t>
      </w:r>
      <w:r w:rsidRPr="00C517CD">
        <w:t xml:space="preserve"> not been influenced by the colonial mindset.</w:t>
      </w:r>
      <w:r w:rsidRPr="00C517CD">
        <w:rPr>
          <w:rStyle w:val="FootnoteReference"/>
        </w:rPr>
        <w:footnoteReference w:id="31"/>
      </w:r>
      <w:r w:rsidRPr="00C517CD">
        <w:t xml:space="preserve"> However, due to their personal nature, it is challenging to accurately interpret them.</w:t>
      </w:r>
      <w:r w:rsidRPr="00C517CD">
        <w:rPr>
          <w:rStyle w:val="FootnoteReference"/>
        </w:rPr>
        <w:footnoteReference w:id="32"/>
      </w:r>
      <w:r w:rsidRPr="00C517CD">
        <w:t xml:space="preserve"> Beal has accomplished significant work in attempting to decipher exactly what these documents indicate. His interpretation of Pasquas pictorial accounting states that members of Pasquas band who were engaged in farming received a number of implements. However, the amounts received differ substantially from what was promised throughout Treaty 4, such as; receiving 12 out of the promised 70 of both spades and scythes, as well as being given only 24 hoes out of the promised 140.</w:t>
      </w:r>
      <w:r w:rsidRPr="00C517CD">
        <w:rPr>
          <w:rStyle w:val="FootnoteReference"/>
        </w:rPr>
        <w:footnoteReference w:id="33"/>
      </w:r>
      <w:r w:rsidR="00546390" w:rsidRPr="00C517CD">
        <w:t xml:space="preserve"> </w:t>
      </w:r>
      <w:r w:rsidR="00D04E9E">
        <w:t>As interpreted by Beal, Pasqua received a coat, fancy pair of pants and a shirt in 1879 and 1881, along with a hat in 1877 and 1881. This information indicates that Pasqua received his uniform on time and in the appropriate quantity</w:t>
      </w:r>
      <w:r w:rsidR="00F152CC">
        <w:t>.</w:t>
      </w:r>
      <w:r w:rsidR="00D04E9E">
        <w:t xml:space="preserve"> Although the chief received the stipulated suit of clothing, the records kept through Pasquas pictographs ultimately indicate that his band did not receive adequate amounts of the supplies that were promised in Treaty 4.</w:t>
      </w:r>
      <w:r w:rsidR="00F152CC">
        <w:rPr>
          <w:rStyle w:val="FootnoteReference"/>
        </w:rPr>
        <w:footnoteReference w:id="34"/>
      </w:r>
      <w:r w:rsidR="00F152CC">
        <w:t xml:space="preserve"> </w:t>
      </w:r>
      <w:r w:rsidR="00D04E9E">
        <w:t xml:space="preserve"> </w:t>
      </w:r>
    </w:p>
    <w:p w14:paraId="00000029" w14:textId="7DEB7324" w:rsidR="000E25E9" w:rsidRPr="00042F46" w:rsidRDefault="00042F46" w:rsidP="00042F46">
      <w:pPr>
        <w:spacing w:line="480" w:lineRule="auto"/>
        <w:ind w:firstLine="720"/>
        <w:textAlignment w:val="baseline"/>
        <w:rPr>
          <w:color w:val="000000"/>
        </w:rPr>
      </w:pPr>
      <w:r>
        <w:rPr>
          <w:color w:val="000000"/>
        </w:rPr>
        <w:lastRenderedPageBreak/>
        <w:t>As previously mentioned, t</w:t>
      </w:r>
      <w:r w:rsidRPr="00B00223">
        <w:rPr>
          <w:color w:val="000000"/>
        </w:rPr>
        <w:t xml:space="preserve">reaties were seen as a way to secure land, appeasing Indigenous peoples until they fully assimilated, and thus, gained independence. </w:t>
      </w:r>
      <w:r>
        <w:rPr>
          <w:color w:val="000000"/>
        </w:rPr>
        <w:t>In the government’s opinion, o</w:t>
      </w:r>
      <w:r w:rsidRPr="00B00223">
        <w:rPr>
          <w:color w:val="000000"/>
        </w:rPr>
        <w:t>nce this independence was gained, the</w:t>
      </w:r>
      <w:r>
        <w:rPr>
          <w:color w:val="000000"/>
        </w:rPr>
        <w:t xml:space="preserve">y </w:t>
      </w:r>
      <w:r w:rsidRPr="00B00223">
        <w:rPr>
          <w:color w:val="000000"/>
        </w:rPr>
        <w:t>would no longer have any responsibility over t</w:t>
      </w:r>
      <w:r>
        <w:rPr>
          <w:color w:val="000000"/>
        </w:rPr>
        <w:t>he Indigenous peoples</w:t>
      </w:r>
      <w:r w:rsidRPr="00B00223">
        <w:rPr>
          <w:color w:val="000000"/>
        </w:rPr>
        <w:t>.</w:t>
      </w:r>
      <w:r w:rsidR="00F152CC">
        <w:rPr>
          <w:rStyle w:val="FootnoteReference"/>
          <w:color w:val="000000"/>
        </w:rPr>
        <w:footnoteReference w:id="35"/>
      </w:r>
      <w:r>
        <w:rPr>
          <w:color w:val="000000"/>
        </w:rPr>
        <w:t xml:space="preserve"> In </w:t>
      </w:r>
      <w:r w:rsidR="00F152CC">
        <w:rPr>
          <w:color w:val="000000"/>
        </w:rPr>
        <w:t>Lieutenant</w:t>
      </w:r>
      <w:r>
        <w:rPr>
          <w:color w:val="000000"/>
        </w:rPr>
        <w:t xml:space="preserve"> Governor Edgar Dewdney’s 1881 report, he</w:t>
      </w:r>
      <w:r w:rsidRPr="00B00223">
        <w:rPr>
          <w:color w:val="000000"/>
        </w:rPr>
        <w:t xml:space="preserve"> expresse</w:t>
      </w:r>
      <w:r>
        <w:rPr>
          <w:color w:val="000000"/>
        </w:rPr>
        <w:t>d</w:t>
      </w:r>
      <w:r w:rsidRPr="00B00223">
        <w:rPr>
          <w:color w:val="000000"/>
        </w:rPr>
        <w:t xml:space="preserve"> that “there [was] a good deal of dissatisfaction with the treaties,” pointing to the differing interpretations of the promises made through treaty.</w:t>
      </w:r>
      <w:r w:rsidR="00F152CC">
        <w:rPr>
          <w:rStyle w:val="FootnoteReference"/>
          <w:color w:val="000000"/>
        </w:rPr>
        <w:footnoteReference w:id="36"/>
      </w:r>
      <w:r w:rsidRPr="00B00223">
        <w:rPr>
          <w:color w:val="000000"/>
        </w:rPr>
        <w:t> He further note</w:t>
      </w:r>
      <w:r>
        <w:rPr>
          <w:color w:val="000000"/>
        </w:rPr>
        <w:t>d</w:t>
      </w:r>
      <w:r w:rsidRPr="00B00223">
        <w:rPr>
          <w:color w:val="000000"/>
        </w:rPr>
        <w:t xml:space="preserve"> that any promises not explicitly written in the treaty document d</w:t>
      </w:r>
      <w:r>
        <w:rPr>
          <w:color w:val="000000"/>
        </w:rPr>
        <w:t>id</w:t>
      </w:r>
      <w:r w:rsidRPr="00B00223">
        <w:rPr>
          <w:color w:val="000000"/>
        </w:rPr>
        <w:t xml:space="preserve"> not carry any weight, showcasing the dangers of the ‘cut and paste’ method used by the government.</w:t>
      </w:r>
      <w:r w:rsidR="00F152CC">
        <w:rPr>
          <w:rStyle w:val="FootnoteReference"/>
          <w:color w:val="000000"/>
        </w:rPr>
        <w:footnoteReference w:id="37"/>
      </w:r>
      <w:r w:rsidRPr="00B00223">
        <w:rPr>
          <w:color w:val="000000"/>
        </w:rPr>
        <w:t xml:space="preserve"> </w:t>
      </w:r>
    </w:p>
    <w:p w14:paraId="0000002A" w14:textId="77777777" w:rsidR="000E25E9" w:rsidRPr="00C517CD" w:rsidRDefault="00A5386A">
      <w:pPr>
        <w:spacing w:line="480" w:lineRule="auto"/>
        <w:jc w:val="center"/>
      </w:pPr>
      <w:r w:rsidRPr="00C517CD">
        <w:rPr>
          <w:b/>
        </w:rPr>
        <w:t>‘Initial Settlement’ Era (1874-1879)</w:t>
      </w:r>
    </w:p>
    <w:p w14:paraId="0000002B" w14:textId="2A406D06" w:rsidR="000E25E9" w:rsidRPr="00C517CD" w:rsidRDefault="00A5386A">
      <w:pPr>
        <w:spacing w:line="480" w:lineRule="auto"/>
        <w:ind w:firstLine="720"/>
      </w:pPr>
      <w:r w:rsidRPr="00C517CD">
        <w:t>The government sought to civilize the Plains First Nations as they were viewed as culturally inferior. However, this racial presumption contributed to the inaction and delay of goods and agricultural assistance promised through the treaty. Th</w:t>
      </w:r>
      <w:r w:rsidR="002D6F4F" w:rsidRPr="00C517CD">
        <w:t xml:space="preserve">e </w:t>
      </w:r>
      <w:r w:rsidRPr="00C517CD">
        <w:t>delay, denial and/or the distribution of ‘below par’ treaty benefits, such as wild cattle from Montana and broken carts, made it extremely challenging for the tribes who signed Treaty 4 to progress agriculturally.</w:t>
      </w:r>
      <w:r w:rsidRPr="00C517CD">
        <w:rPr>
          <w:rStyle w:val="FootnoteReference"/>
        </w:rPr>
        <w:footnoteReference w:id="38"/>
      </w:r>
      <w:r w:rsidRPr="00C517CD">
        <w:t xml:space="preserve">  Prior to European control, agriculture played a significant role in the Indigenous peoples of the plains lives, as they combined hunting and gathering with agricultural practices to create a more stable, reliable, and flexible economy. In addition, it is noted by historian Sara</w:t>
      </w:r>
      <w:r w:rsidR="00D31077" w:rsidRPr="00C517CD">
        <w:t xml:space="preserve">h </w:t>
      </w:r>
      <w:r w:rsidRPr="00C517CD">
        <w:t>Carter, that the Indigenous peoples who inhabited the pla</w:t>
      </w:r>
      <w:r w:rsidR="00D31077" w:rsidRPr="00C517CD">
        <w:t>in</w:t>
      </w:r>
      <w:r w:rsidRPr="00C517CD">
        <w:t>s had the ability to adapt, borrow, and learn new skills regularly, showcasing their capacity and willingness to strengthen their abilities.</w:t>
      </w:r>
      <w:r w:rsidR="002D6F4F" w:rsidRPr="00C517CD">
        <w:rPr>
          <w:rStyle w:val="FootnoteReference"/>
        </w:rPr>
        <w:footnoteReference w:id="39"/>
      </w:r>
      <w:r w:rsidRPr="00C517CD">
        <w:t xml:space="preserve"> </w:t>
      </w:r>
      <w:r w:rsidRPr="00C517CD">
        <w:lastRenderedPageBreak/>
        <w:t>However, these documented attributes are often contrasted by Euro Canadian perceptions that labe</w:t>
      </w:r>
      <w:r w:rsidR="001321DF">
        <w:t>l</w:t>
      </w:r>
      <w:r w:rsidRPr="00C517CD">
        <w:t xml:space="preserve"> the plains peoples as strictly hunters, gatherers, and warriors, who did not possess the necessary skills to partake/succeed in agricultural practices.</w:t>
      </w:r>
      <w:r w:rsidRPr="00C517CD">
        <w:rPr>
          <w:rStyle w:val="FootnoteReference"/>
        </w:rPr>
        <w:footnoteReference w:id="40"/>
      </w:r>
      <w:r w:rsidRPr="00C517CD">
        <w:t xml:space="preserve"> These ideas stem from preconceived notions and myths that Indigenous groups could not adapt. </w:t>
      </w:r>
    </w:p>
    <w:p w14:paraId="0000002C" w14:textId="7E2C3440" w:rsidR="000E25E9" w:rsidRPr="00C517CD" w:rsidRDefault="00A5386A">
      <w:pPr>
        <w:spacing w:line="480" w:lineRule="auto"/>
        <w:ind w:firstLine="720"/>
      </w:pPr>
      <w:r w:rsidRPr="00C517CD">
        <w:t>Although many groups had the ability and desire to succeed agriculturally, failure was imminent for some bands as a number of reserve lands were not suitable for farming. In addition, other bands dealt with the constant envy of settlers, as the quality of land possessed by their band was superior to that of the newcomers. Blame was continuously cast onto Indigenous peoples for their setbacks. In turn, they were labelled as lazy, liars, and beggars.</w:t>
      </w:r>
      <w:r w:rsidRPr="00C517CD">
        <w:rPr>
          <w:rStyle w:val="FootnoteReference"/>
        </w:rPr>
        <w:footnoteReference w:id="41"/>
      </w:r>
      <w:r w:rsidRPr="00C517CD">
        <w:t xml:space="preserve"> Clauses in Treaty 4 stipulated that implements and provisions would not be supplied until bands were cultivating the soil, a logistical </w:t>
      </w:r>
      <w:r w:rsidR="00CE7D4F" w:rsidRPr="00C517CD">
        <w:t>‘loophole’ created</w:t>
      </w:r>
      <w:r w:rsidRPr="00C517CD">
        <w:t xml:space="preserve"> by the government to limit their expenditures. These stipulations negatively impacted many bands. In addition, it was not guaranteed to bands who did adhere to these rules that they would receive sufficient amounts and/or implements in adequate condition in a timely manner. Implements that were given to bands remained in the property of the government, as they were not allowed to become the property of bands or chiefs due to colonial and racist misconceptions.</w:t>
      </w:r>
      <w:r w:rsidRPr="00C517CD">
        <w:rPr>
          <w:rStyle w:val="FootnoteReference"/>
        </w:rPr>
        <w:footnoteReference w:id="42"/>
      </w:r>
      <w:r w:rsidRPr="00C517CD">
        <w:t xml:space="preserve"> Pasqua</w:t>
      </w:r>
      <w:r w:rsidR="00D31077" w:rsidRPr="00C517CD">
        <w:t>’</w:t>
      </w:r>
      <w:r w:rsidRPr="00C517CD">
        <w:t>s band, although willing to farm, lacked the ability to do so as they were ill-equipped. Initially, they had no cattle, agricultural implements or provisions to support the breaking of land, which was necessary in order to adhere to the treaty stipulation</w:t>
      </w:r>
      <w:r w:rsidR="002D6F4F" w:rsidRPr="00C517CD">
        <w:t>s</w:t>
      </w:r>
      <w:r w:rsidRPr="00C517CD">
        <w:t>, and thus, to be provided with the necessary provisions and implements needed to be successful.</w:t>
      </w:r>
      <w:r w:rsidR="002D6F4F" w:rsidRPr="00C517CD">
        <w:rPr>
          <w:vertAlign w:val="superscript"/>
        </w:rPr>
        <w:t xml:space="preserve"> </w:t>
      </w:r>
      <w:r w:rsidR="002D6F4F" w:rsidRPr="00C517CD">
        <w:rPr>
          <w:rStyle w:val="FootnoteReference"/>
        </w:rPr>
        <w:footnoteReference w:id="43"/>
      </w:r>
      <w:r w:rsidRPr="00C517CD">
        <w:t xml:space="preserve"> </w:t>
      </w:r>
      <w:r w:rsidR="00F152CC">
        <w:t xml:space="preserve">Government </w:t>
      </w:r>
      <w:r w:rsidR="006274E2">
        <w:t>‘</w:t>
      </w:r>
      <w:r w:rsidRPr="00C517CD">
        <w:t>oversight</w:t>
      </w:r>
      <w:r w:rsidR="00F152CC">
        <w:t>s</w:t>
      </w:r>
      <w:r w:rsidR="006274E2">
        <w:t>’</w:t>
      </w:r>
      <w:r w:rsidR="00F152CC">
        <w:t xml:space="preserve"> </w:t>
      </w:r>
      <w:r w:rsidRPr="00C517CD">
        <w:t>had negative implications for bands</w:t>
      </w:r>
      <w:r w:rsidR="00F152CC">
        <w:t xml:space="preserve">, as the quantities of </w:t>
      </w:r>
      <w:r w:rsidR="00F152CC">
        <w:lastRenderedPageBreak/>
        <w:t xml:space="preserve">implements, provisions and livestock promised under treaty were inadequate to meet their agricultural needs. </w:t>
      </w:r>
    </w:p>
    <w:p w14:paraId="0000002D" w14:textId="77777777" w:rsidR="000E25E9" w:rsidRPr="00C517CD" w:rsidRDefault="00A5386A">
      <w:pPr>
        <w:spacing w:line="480" w:lineRule="auto"/>
        <w:jc w:val="center"/>
      </w:pPr>
      <w:r w:rsidRPr="00C517CD">
        <w:t>Annuities, Agricultural Implements, Provisions and Livestock</w:t>
      </w:r>
    </w:p>
    <w:p w14:paraId="0000002E" w14:textId="77777777" w:rsidR="000E25E9" w:rsidRPr="00C517CD" w:rsidRDefault="00A5386A">
      <w:pPr>
        <w:spacing w:line="480" w:lineRule="auto"/>
      </w:pPr>
      <w:r w:rsidRPr="00C517CD">
        <w:t xml:space="preserve">1) </w:t>
      </w:r>
      <w:r w:rsidRPr="00C517CD">
        <w:rPr>
          <w:b/>
        </w:rPr>
        <w:t xml:space="preserve">1874-75. </w:t>
      </w:r>
      <w:r w:rsidRPr="00C517CD">
        <w:t>In a letter written in 1874 by the private Secretary of the Minister of the Interior, M.G. Dickieson, he stated that some of the Treaty 4 bands had begun cultivating the land and had horses and cattle, listing Pasqua's band as one of them. He acknowledged that the provisions promised to them in the form of seed, grain, and potatoes would not get to them before planting season. Through his letter, one can presume that he was aware of what was promised to the bands of Treaty 4 and the deadlines that government workers were failing to keep.</w:t>
      </w:r>
      <w:r w:rsidRPr="00C517CD">
        <w:rPr>
          <w:rStyle w:val="FootnoteReference"/>
        </w:rPr>
        <w:footnoteReference w:id="44"/>
      </w:r>
    </w:p>
    <w:p w14:paraId="0000002F" w14:textId="11B586C7" w:rsidR="000E25E9" w:rsidRPr="00C517CD" w:rsidRDefault="00A5386A">
      <w:pPr>
        <w:spacing w:line="480" w:lineRule="auto"/>
        <w:ind w:firstLine="720"/>
        <w:rPr>
          <w:b/>
        </w:rPr>
      </w:pPr>
      <w:r w:rsidRPr="00C517CD">
        <w:t xml:space="preserve">Government officials were aware of the depleting supply of Buffalo and what this meant for the </w:t>
      </w:r>
      <w:r w:rsidR="00CE7D4F" w:rsidRPr="00C517CD">
        <w:t>plain’s</w:t>
      </w:r>
      <w:r w:rsidRPr="00C517CD">
        <w:t xml:space="preserve"> groups, including the anxiety that they were experiencing. In the Minister of the Interior David Mills’ 1875-76 report he called for “prompt measures [to] be taken in the meantime to prevent catastrophe.”</w:t>
      </w:r>
      <w:r w:rsidRPr="00C517CD">
        <w:rPr>
          <w:rStyle w:val="FootnoteReference"/>
        </w:rPr>
        <w:footnoteReference w:id="45"/>
      </w:r>
      <w:r w:rsidRPr="00C517CD">
        <w:t xml:space="preserve"> W.J. Christie and M.G. </w:t>
      </w:r>
      <w:proofErr w:type="spellStart"/>
      <w:r w:rsidRPr="00C517CD">
        <w:t>Dickieson</w:t>
      </w:r>
      <w:r w:rsidR="00D31077" w:rsidRPr="00C517CD">
        <w:t>’</w:t>
      </w:r>
      <w:r w:rsidRPr="00C517CD">
        <w:t>s</w:t>
      </w:r>
      <w:proofErr w:type="spellEnd"/>
      <w:r w:rsidRPr="00C517CD">
        <w:t xml:space="preserve"> 1875 report documented their inability to provide Treaty 4 band members with the promised annuities, as there was a substantially larger number of people than expected. They noted that they would need an additional $21,000 to pay all of the members present. These government employees imposed a restriction in regard to the number of headmen that the Cree and Saulteaux tribes could have, limiting them to 2 instead of 4.</w:t>
      </w:r>
      <w:r w:rsidR="002D6F4F" w:rsidRPr="00C517CD">
        <w:rPr>
          <w:vertAlign w:val="superscript"/>
        </w:rPr>
        <w:t xml:space="preserve"> </w:t>
      </w:r>
      <w:r w:rsidR="002D6F4F" w:rsidRPr="00C517CD">
        <w:rPr>
          <w:rStyle w:val="FootnoteReference"/>
        </w:rPr>
        <w:footnoteReference w:id="46"/>
      </w:r>
      <w:r w:rsidR="002D6F4F" w:rsidRPr="00C517CD">
        <w:t xml:space="preserve"> </w:t>
      </w:r>
      <w:r w:rsidRPr="00C517CD">
        <w:t xml:space="preserve">This was done as a measure to decrease the amount of funds the government would have to supply each band </w:t>
      </w:r>
      <w:r w:rsidR="00F152CC" w:rsidRPr="00C517CD">
        <w:t>with but</w:t>
      </w:r>
      <w:r w:rsidRPr="00C517CD">
        <w:t xml:space="preserve"> went against what was promised in the treaty. In the years of 1874-75 Pasquas band received a total of $2,275 in annuity payments. </w:t>
      </w:r>
      <w:r w:rsidR="00CE7D4F" w:rsidRPr="00C517CD">
        <w:t xml:space="preserve">This report states that in 1875 there were 49 families in Pasquas band, however, it is stated by </w:t>
      </w:r>
      <w:r w:rsidR="00CE7D4F" w:rsidRPr="00C517CD">
        <w:lastRenderedPageBreak/>
        <w:t>historian Bob Beal that there were 70 families present.</w:t>
      </w:r>
      <w:r w:rsidR="00CE7D4F" w:rsidRPr="00C517CD">
        <w:rPr>
          <w:rStyle w:val="FootnoteReference"/>
        </w:rPr>
        <w:footnoteReference w:id="47"/>
      </w:r>
      <w:r w:rsidR="00CE7D4F" w:rsidRPr="00C517CD">
        <w:t xml:space="preserve"> The 1875 report states that Pasquas band was the only one prepared to winter cattle, and thus they were given to them. However,</w:t>
      </w:r>
      <w:r w:rsidRPr="00C517CD">
        <w:t xml:space="preserve"> this report does not indicate how many were given, nor where they were obtained from.</w:t>
      </w:r>
      <w:r w:rsidRPr="00C517CD">
        <w:rPr>
          <w:rStyle w:val="FootnoteReference"/>
        </w:rPr>
        <w:footnoteReference w:id="48"/>
      </w:r>
      <w:r w:rsidRPr="00C517CD">
        <w:t xml:space="preserve"> In addition, this report does not address the </w:t>
      </w:r>
      <w:r w:rsidR="00CE7D4F" w:rsidRPr="00C517CD">
        <w:t>number</w:t>
      </w:r>
      <w:r w:rsidRPr="00C517CD">
        <w:t xml:space="preserve"> of agricultural implements given to the band. This lack of information leaves a significant gap in knowledge. </w:t>
      </w:r>
    </w:p>
    <w:p w14:paraId="00000030" w14:textId="50FC47F1" w:rsidR="000E25E9" w:rsidRPr="00C517CD" w:rsidRDefault="00A5386A">
      <w:pPr>
        <w:spacing w:line="480" w:lineRule="auto"/>
      </w:pPr>
      <w:r w:rsidRPr="00C517CD">
        <w:rPr>
          <w:b/>
        </w:rPr>
        <w:t xml:space="preserve">2) 1876-77. </w:t>
      </w:r>
      <w:r w:rsidRPr="00C517CD">
        <w:t xml:space="preserve">As reported by Indian Agent Angus </w:t>
      </w:r>
      <w:r w:rsidR="00CE7D4F" w:rsidRPr="00C517CD">
        <w:t>McKay</w:t>
      </w:r>
      <w:r w:rsidRPr="00C517CD">
        <w:t>, Pasqua</w:t>
      </w:r>
      <w:r w:rsidR="00D31077" w:rsidRPr="00C517CD">
        <w:t>’</w:t>
      </w:r>
      <w:r w:rsidRPr="00C517CD">
        <w:t>s band had been supplied with 2 oxen and 4 cows in the summer of 1876.</w:t>
      </w:r>
      <w:r w:rsidRPr="00C517CD">
        <w:rPr>
          <w:rStyle w:val="FootnoteReference"/>
        </w:rPr>
        <w:footnoteReference w:id="49"/>
      </w:r>
      <w:r w:rsidRPr="00C517CD">
        <w:t xml:space="preserve"> In the same year, surveyor William Wagner wrote to David Laird in regard to Chief Pasqua. He stated that the chief had received his share of cattle, but that he “demanded…  his share of tools and implements.” Further, he noted Pasqua</w:t>
      </w:r>
      <w:r w:rsidR="00D31077" w:rsidRPr="00C517CD">
        <w:t>’</w:t>
      </w:r>
      <w:r w:rsidRPr="00C517CD">
        <w:t xml:space="preserve">s desire to sell one of his oxen, reporting that he was clearly unaware of the rules in place that restricted his economic abilities. With no other options, Pasqua decided to eat the </w:t>
      </w:r>
      <w:r w:rsidR="00424F6F" w:rsidRPr="00C517CD">
        <w:t>o</w:t>
      </w:r>
      <w:r w:rsidRPr="00C517CD">
        <w:t xml:space="preserve">xen which was met with shock and </w:t>
      </w:r>
      <w:r w:rsidR="00D31077" w:rsidRPr="00C517CD">
        <w:t>disapproval</w:t>
      </w:r>
      <w:r w:rsidRPr="00C517CD">
        <w:t xml:space="preserve"> from Wagner.</w:t>
      </w:r>
      <w:r w:rsidRPr="00C517CD">
        <w:rPr>
          <w:rStyle w:val="FootnoteReference"/>
        </w:rPr>
        <w:footnoteReference w:id="50"/>
      </w:r>
      <w:r w:rsidRPr="00C517CD">
        <w:t xml:space="preserve"> This incident negatively influenced his opinion of the Treaty 4 band, which was then relayed to the government. This can be seen in his statement in which he expresses his fears of bands selling the promised implements</w:t>
      </w:r>
      <w:r w:rsidR="00424F6F" w:rsidRPr="00C517CD">
        <w:t>. This</w:t>
      </w:r>
      <w:r w:rsidRPr="00C517CD">
        <w:t xml:space="preserve"> fear leads to his </w:t>
      </w:r>
      <w:r w:rsidR="00D31077" w:rsidRPr="00C517CD">
        <w:t>refusal to</w:t>
      </w:r>
      <w:r w:rsidRPr="00C517CD">
        <w:t xml:space="preserve"> </w:t>
      </w:r>
      <w:r w:rsidR="00D31077" w:rsidRPr="00C517CD">
        <w:t xml:space="preserve">distribute </w:t>
      </w:r>
      <w:r w:rsidRPr="00C517CD">
        <w:t>the necessary and promised provisions and implements to band members. Much of his letter points to the perpetuation of myths surrounding Indigenous peoples.</w:t>
      </w:r>
      <w:r w:rsidR="00424F6F" w:rsidRPr="00C517CD">
        <w:rPr>
          <w:vertAlign w:val="superscript"/>
        </w:rPr>
        <w:t xml:space="preserve"> </w:t>
      </w:r>
      <w:r w:rsidR="00424F6F" w:rsidRPr="00C517CD">
        <w:rPr>
          <w:rStyle w:val="FootnoteReference"/>
        </w:rPr>
        <w:footnoteReference w:id="51"/>
      </w:r>
      <w:r w:rsidR="00424F6F" w:rsidRPr="00C517CD">
        <w:t xml:space="preserve"> </w:t>
      </w:r>
      <w:r w:rsidRPr="00C517CD">
        <w:t xml:space="preserve"> Included in this is the belief that Indigenous peoples were incapable of agricultural practices, showcasing paternalistic attitudes and savior complexes. </w:t>
      </w:r>
    </w:p>
    <w:p w14:paraId="00000031" w14:textId="48C17A93" w:rsidR="000E25E9" w:rsidRPr="00C517CD" w:rsidRDefault="00A5386A">
      <w:pPr>
        <w:spacing w:line="480" w:lineRule="auto"/>
        <w:ind w:firstLine="720"/>
      </w:pPr>
      <w:r w:rsidRPr="00C517CD">
        <w:lastRenderedPageBreak/>
        <w:t>A quantity of barley was given to the Qu’Appelle band in the autumn of 1876, which was too late for them to plant, meaning that they would have to wait until the following spring.</w:t>
      </w:r>
      <w:r w:rsidRPr="00C517CD">
        <w:rPr>
          <w:rStyle w:val="FootnoteReference"/>
        </w:rPr>
        <w:footnoteReference w:id="52"/>
      </w:r>
      <w:r w:rsidRPr="00C517CD">
        <w:t xml:space="preserve"> The government's inability to supply bands with seed in a timely manner had damaging effects. As noted by a report from June of 1877, bands expected to receive seed in the spring, as this is when </w:t>
      </w:r>
      <w:r w:rsidR="00CE7D4F" w:rsidRPr="00C517CD">
        <w:t>Mr. Christie</w:t>
      </w:r>
      <w:r w:rsidRPr="00C517CD">
        <w:t xml:space="preserve"> had promised them. However, this was not done. Therefore, band members once again faced starvation due to neglected government promises, as they were without food.</w:t>
      </w:r>
      <w:r w:rsidRPr="00C517CD">
        <w:rPr>
          <w:rStyle w:val="FootnoteReference"/>
        </w:rPr>
        <w:footnoteReference w:id="53"/>
      </w:r>
    </w:p>
    <w:p w14:paraId="00000032" w14:textId="186A1183" w:rsidR="000E25E9" w:rsidRPr="00C517CD" w:rsidRDefault="00A5386A">
      <w:pPr>
        <w:spacing w:line="480" w:lineRule="auto"/>
        <w:ind w:firstLine="720"/>
      </w:pPr>
      <w:r w:rsidRPr="00C517CD">
        <w:t>It is acknowledged by McKay in his 1877 report that “grasshoppers had destroyed all of the crops sown by the Indians.”</w:t>
      </w:r>
      <w:r w:rsidRPr="00C517CD">
        <w:rPr>
          <w:rStyle w:val="FootnoteReference"/>
        </w:rPr>
        <w:footnoteReference w:id="54"/>
      </w:r>
      <w:r w:rsidRPr="00C517CD">
        <w:t xml:space="preserve"> This passage further displays the agricultural struggles faced by bands who sought to participate in farming. McKay indicated that the government would have to take “prompt measures” in order to maintain peaceful relationships with the bands of Treaty 4. In addition, he states that provisions “should be taken in order to provide for the carrying out of the terms and conditions agreed to in the Treaty which remain yet to be fulfilled.”</w:t>
      </w:r>
      <w:r w:rsidRPr="00C517CD">
        <w:rPr>
          <w:rStyle w:val="FootnoteReference"/>
        </w:rPr>
        <w:footnoteReference w:id="55"/>
      </w:r>
      <w:r w:rsidRPr="00C517CD">
        <w:t xml:space="preserve">  This statement shows that </w:t>
      </w:r>
      <w:r w:rsidR="00CE7D4F" w:rsidRPr="00C517CD">
        <w:t>McKay</w:t>
      </w:r>
      <w:r w:rsidRPr="00C517CD">
        <w:t xml:space="preserve">, and thus the government, were well aware of the shortcomings on their side of adhering to the treaty agreements. </w:t>
      </w:r>
      <w:r w:rsidR="00CE7D4F" w:rsidRPr="00C517CD">
        <w:t>McKay</w:t>
      </w:r>
      <w:r w:rsidRPr="00C517CD">
        <w:t xml:space="preserve"> states in his report that there are 50 families in Pasquas band.</w:t>
      </w:r>
      <w:r w:rsidR="00424F6F" w:rsidRPr="00C517CD">
        <w:rPr>
          <w:vertAlign w:val="superscript"/>
        </w:rPr>
        <w:t xml:space="preserve"> </w:t>
      </w:r>
      <w:r w:rsidR="00424F6F" w:rsidRPr="00C517CD">
        <w:rPr>
          <w:rStyle w:val="FootnoteReference"/>
        </w:rPr>
        <w:footnoteReference w:id="56"/>
      </w:r>
      <w:r w:rsidRPr="00C517CD">
        <w:t xml:space="preserve"> This amount differs from previous reports. This difference could be interpreted as a flux in the band's population due to deaths caused by famine, ill health or malnutrition, and/or because of excursions related to hunting, trapping, gathering or visiting, as this band “live[d] on the chase.” At this point it is noted that Pasquas band “made several attempts at farming” and that they had success in their root crops.</w:t>
      </w:r>
      <w:r w:rsidR="00424F6F" w:rsidRPr="00C517CD">
        <w:rPr>
          <w:vertAlign w:val="superscript"/>
        </w:rPr>
        <w:t xml:space="preserve"> </w:t>
      </w:r>
      <w:r w:rsidR="00424F6F" w:rsidRPr="00C517CD">
        <w:rPr>
          <w:rStyle w:val="FootnoteReference"/>
        </w:rPr>
        <w:footnoteReference w:id="57"/>
      </w:r>
      <w:r w:rsidRPr="00C517CD">
        <w:t xml:space="preserve"> This recorded success </w:t>
      </w:r>
      <w:r w:rsidRPr="00C517CD">
        <w:lastRenderedPageBreak/>
        <w:t xml:space="preserve">contrasts the perpetuated narrative that bands were incapable of achievement. Pasquas band, when provided with nets, had a great success in catching fish as acknowledged by McKay. Pasqua provided </w:t>
      </w:r>
      <w:r w:rsidR="00CE7D4F" w:rsidRPr="00C517CD">
        <w:t>McKay</w:t>
      </w:r>
      <w:r w:rsidRPr="00C517CD">
        <w:t xml:space="preserve"> with rationalization for his killing of the bands cow. </w:t>
      </w:r>
      <w:r w:rsidR="00CE7D4F" w:rsidRPr="00C517CD">
        <w:t xml:space="preserve">Pasqua stated that “he had not been supplied with scythes and </w:t>
      </w:r>
      <w:proofErr w:type="spellStart"/>
      <w:r w:rsidR="00CE7D4F" w:rsidRPr="00C517CD">
        <w:t>snaithes</w:t>
      </w:r>
      <w:proofErr w:type="spellEnd"/>
      <w:r w:rsidR="00CE7D4F" w:rsidRPr="00C517CD">
        <w:t>,” meaning that no hay was gathered and due to this, he was unable to feed and care for the animals throughout the winter.</w:t>
      </w:r>
      <w:r w:rsidR="00CE7D4F" w:rsidRPr="00C517CD">
        <w:rPr>
          <w:rStyle w:val="FootnoteReference"/>
        </w:rPr>
        <w:footnoteReference w:id="58"/>
      </w:r>
      <w:r w:rsidR="00CE7D4F" w:rsidRPr="00C517CD">
        <w:t xml:space="preserve"> It is also important to note that in 1877, no schools had been maintained or created by the government, however, several had been established by religious groups.</w:t>
      </w:r>
      <w:r w:rsidR="00CE7D4F" w:rsidRPr="00C517CD">
        <w:rPr>
          <w:rStyle w:val="FootnoteReference"/>
        </w:rPr>
        <w:footnoteReference w:id="59"/>
      </w:r>
    </w:p>
    <w:p w14:paraId="00000033" w14:textId="5DEA7F33" w:rsidR="000E25E9" w:rsidRPr="00C517CD" w:rsidRDefault="00A5386A">
      <w:pPr>
        <w:spacing w:line="480" w:lineRule="auto"/>
      </w:pPr>
      <w:r w:rsidRPr="00C517CD">
        <w:rPr>
          <w:b/>
        </w:rPr>
        <w:t>3) 1878-79.</w:t>
      </w:r>
      <w:r w:rsidRPr="00C517CD">
        <w:t xml:space="preserve">  About 20 bands in Treaty 4 had selected their reserves by 1878, some however, chose lands not compatible with farming but were not discouraged by government officials. Out of the 20 bands, 13 had settled on their reserves and commenced agricultural practices. In a following report, it is stated that there were a total of 24 bands. However, the number of bands engaged in agriculture shifted to 11.</w:t>
      </w:r>
      <w:r w:rsidRPr="00C517CD">
        <w:rPr>
          <w:rStyle w:val="FootnoteReference"/>
        </w:rPr>
        <w:footnoteReference w:id="60"/>
      </w:r>
      <w:r w:rsidRPr="00C517CD">
        <w:t xml:space="preserve"> The late 1870s were marked by a period in which the government sought to alleviate the struggles plaguing bands. This was done through the implementation of the ‘Home Farm Experiment.’ Instructors were sent to establish farms that would act as ‘model farms’  for Indigenous peoples, while also supporting them with provisions.</w:t>
      </w:r>
      <w:r w:rsidRPr="00C517CD">
        <w:rPr>
          <w:rStyle w:val="FootnoteReference"/>
        </w:rPr>
        <w:footnoteReference w:id="61"/>
      </w:r>
      <w:r w:rsidRPr="00C517CD">
        <w:t xml:space="preserve"> In 1878, 5 instructors were present to assist Pasquas band, which included 30 families, however, the crop in Qu’Appelle failed due to a lack of fences.</w:t>
      </w:r>
      <w:r w:rsidRPr="00C517CD">
        <w:rPr>
          <w:rStyle w:val="FootnoteReference"/>
        </w:rPr>
        <w:footnoteReference w:id="62"/>
      </w:r>
      <w:r w:rsidRPr="00C517CD">
        <w:t xml:space="preserve"> In June of that year, almost 4 years after the signing of Treaty 4, Chief Pasqua complained that even though they had broken up their land, they received 4 ploughs with only 1 oxen which he stated “went directly </w:t>
      </w:r>
      <w:r w:rsidRPr="00C517CD">
        <w:lastRenderedPageBreak/>
        <w:t>lame and useless.”</w:t>
      </w:r>
      <w:r w:rsidRPr="00C517CD">
        <w:rPr>
          <w:rStyle w:val="FootnoteReference"/>
        </w:rPr>
        <w:footnoteReference w:id="63"/>
      </w:r>
      <w:r w:rsidRPr="00C517CD">
        <w:t xml:space="preserve"> This complaint highlights the issues present in the distribution of wild </w:t>
      </w:r>
      <w:r w:rsidR="00CE7D4F" w:rsidRPr="00C517CD">
        <w:t>M</w:t>
      </w:r>
      <w:r w:rsidRPr="00C517CD">
        <w:t>ontana cattle rather than domesticated oxen, as they were not equipped to work.</w:t>
      </w:r>
      <w:r w:rsidRPr="00C517CD">
        <w:rPr>
          <w:rStyle w:val="FootnoteReference"/>
        </w:rPr>
        <w:footnoteReference w:id="64"/>
      </w:r>
      <w:r w:rsidRPr="00C517CD">
        <w:t xml:space="preserve"> Pasqua made an additional complaint pertaining to the lack of provisions that the band received, stating that they had only “ever received but once but not again.”</w:t>
      </w:r>
      <w:r w:rsidRPr="00C517CD">
        <w:rPr>
          <w:rStyle w:val="FootnoteReference"/>
        </w:rPr>
        <w:footnoteReference w:id="65"/>
      </w:r>
      <w:r w:rsidRPr="00C517CD">
        <w:t xml:space="preserve"> The implements given to Pasquas band in 1878, as dictated from David Lai</w:t>
      </w:r>
      <w:r w:rsidR="00F152CC">
        <w:t>r</w:t>
      </w:r>
      <w:r w:rsidRPr="00C517CD">
        <w:t>ds report, are as follows; 13 hoes, 12 spades, 10 axes, 1 plough, 4 trace chains, and 10 hoes (burnt). In addition, Pasquas band received provisions and seed which amounted to 85 sacks of flour, 112 units of pemmican, 7 bushels of barley and 80 of potatoes.</w:t>
      </w:r>
      <w:r w:rsidRPr="00C517CD">
        <w:rPr>
          <w:rStyle w:val="FootnoteReference"/>
        </w:rPr>
        <w:footnoteReference w:id="66"/>
      </w:r>
    </w:p>
    <w:p w14:paraId="61666936" w14:textId="7E1EC30B" w:rsidR="00B13F12" w:rsidRPr="00C517CD" w:rsidRDefault="00A5386A">
      <w:pPr>
        <w:spacing w:line="480" w:lineRule="auto"/>
        <w:ind w:firstLine="720"/>
      </w:pPr>
      <w:r w:rsidRPr="00C517CD">
        <w:t xml:space="preserve">In a letter written </w:t>
      </w:r>
      <w:r w:rsidR="00B13F12" w:rsidRPr="00C517CD">
        <w:t xml:space="preserve">in 1878 </w:t>
      </w:r>
      <w:r w:rsidRPr="00C517CD">
        <w:t>by</w:t>
      </w:r>
      <w:r w:rsidR="00B13F12" w:rsidRPr="00C517CD">
        <w:t xml:space="preserve"> a Red River Journalist, farmer and later farm instructor at Pasquas band,</w:t>
      </w:r>
      <w:r w:rsidRPr="00C517CD">
        <w:t xml:space="preserve"> F</w:t>
      </w:r>
      <w:r w:rsidR="00AB2E65" w:rsidRPr="00C517CD">
        <w:t xml:space="preserve">rank </w:t>
      </w:r>
      <w:r w:rsidRPr="00C517CD">
        <w:t>L. Hunt</w:t>
      </w:r>
      <w:r w:rsidR="00B13F12" w:rsidRPr="00C517CD">
        <w:t>,</w:t>
      </w:r>
      <w:r w:rsidRPr="00C517CD">
        <w:t xml:space="preserve"> for Lieut Governor Joseph Cauchon, he relays information passed onto him by Chief Pasqua, most of which reflects the anxieties, frustrations and uneasiness felt by the chief</w:t>
      </w:r>
      <w:r w:rsidR="00B13F12" w:rsidRPr="00C517CD">
        <w:t>.</w:t>
      </w:r>
      <w:r w:rsidR="00B13F12" w:rsidRPr="00C517CD">
        <w:rPr>
          <w:vertAlign w:val="superscript"/>
        </w:rPr>
        <w:t xml:space="preserve"> </w:t>
      </w:r>
      <w:r w:rsidR="00B13F12" w:rsidRPr="00C517CD">
        <w:rPr>
          <w:rStyle w:val="FootnoteReference"/>
        </w:rPr>
        <w:footnoteReference w:id="67"/>
      </w:r>
      <w:r w:rsidRPr="00C517CD">
        <w:t xml:space="preserve"> Pasqua seeks assurance and the reconfirmation of the relationship established by </w:t>
      </w:r>
      <w:r w:rsidR="00CE7D4F" w:rsidRPr="00C517CD">
        <w:t>treaty. This</w:t>
      </w:r>
      <w:r w:rsidRPr="00C517CD">
        <w:t xml:space="preserve"> letter showcases feelings of mistrust and questioning, and further specifies that only a small portion of the promised provisions had been received.</w:t>
      </w:r>
      <w:r w:rsidRPr="00C517CD">
        <w:rPr>
          <w:rStyle w:val="FootnoteReference"/>
        </w:rPr>
        <w:footnoteReference w:id="68"/>
      </w:r>
      <w:r w:rsidRPr="00C517CD">
        <w:t xml:space="preserve"> </w:t>
      </w:r>
    </w:p>
    <w:p w14:paraId="00000034" w14:textId="73A1D61B" w:rsidR="000E25E9" w:rsidRPr="00C517CD" w:rsidRDefault="00A5386A">
      <w:pPr>
        <w:spacing w:line="480" w:lineRule="auto"/>
        <w:ind w:firstLine="720"/>
      </w:pPr>
      <w:r w:rsidRPr="00C517CD">
        <w:t xml:space="preserve">David Laird did not believe that Pasqua was a truthful chief, and therefore, labeled him as a liar and a beggar whose complaints should not be taken seriously. In his 1878 letter to the Minister of the Interior, he states that Pasquas band had previously been given all of the required </w:t>
      </w:r>
      <w:r w:rsidRPr="00C517CD">
        <w:lastRenderedPageBreak/>
        <w:t xml:space="preserve">cattle, also noting that he believed that a “sufficient [amount] of seed[s] to plant the land” had been received. Laird later argued that promises of the dispersal of provisions during seed times were never a part of Treaty 4 and that he never explicitly promised this. Laird saw this as a beneficial </w:t>
      </w:r>
      <w:r w:rsidR="00CE7D4F" w:rsidRPr="00C517CD">
        <w:t>act but</w:t>
      </w:r>
      <w:r w:rsidRPr="00C517CD">
        <w:t xml:space="preserve"> </w:t>
      </w:r>
      <w:r w:rsidR="00B13F12" w:rsidRPr="00C517CD">
        <w:t xml:space="preserve">claims that he </w:t>
      </w:r>
      <w:r w:rsidRPr="00C517CD">
        <w:t>denied provisions until he had “received an affirmative answer from Ottawa.”</w:t>
      </w:r>
      <w:r w:rsidRPr="00C517CD">
        <w:rPr>
          <w:rStyle w:val="FootnoteReference"/>
        </w:rPr>
        <w:footnoteReference w:id="69"/>
      </w:r>
    </w:p>
    <w:p w14:paraId="00000035" w14:textId="52EF8094" w:rsidR="000E25E9" w:rsidRPr="00C517CD" w:rsidRDefault="00A5386A">
      <w:pPr>
        <w:spacing w:line="480" w:lineRule="auto"/>
        <w:ind w:firstLine="720"/>
      </w:pPr>
      <w:r w:rsidRPr="00C517CD">
        <w:t>In the 1879 Indian Affairs Annual Report it is noted that the buffalo “ha[d] suddenly left the country.”</w:t>
      </w:r>
      <w:r w:rsidRPr="00C517CD">
        <w:rPr>
          <w:rStyle w:val="FootnoteReference"/>
        </w:rPr>
        <w:footnoteReference w:id="70"/>
      </w:r>
      <w:r w:rsidRPr="00C517CD">
        <w:t xml:space="preserve"> Although this event occurred more rapidly than expected, it was previously a cause for major anxiety among Indigenous groups in the west and </w:t>
      </w:r>
      <w:r w:rsidR="00B13F12" w:rsidRPr="00C517CD">
        <w:t xml:space="preserve">was </w:t>
      </w:r>
      <w:r w:rsidRPr="00C517CD">
        <w:t>a driving force behind the signing of the treaty.</w:t>
      </w:r>
      <w:r w:rsidRPr="00C517CD">
        <w:rPr>
          <w:rStyle w:val="FootnoteReference"/>
        </w:rPr>
        <w:footnoteReference w:id="71"/>
      </w:r>
      <w:r w:rsidRPr="00C517CD">
        <w:t xml:space="preserve"> M.G. Dickieson relays that the bands “ha[d] expressed fears as to the coming winter, as they </w:t>
      </w:r>
      <w:proofErr w:type="spellStart"/>
      <w:r w:rsidRPr="00C517CD">
        <w:t>sa</w:t>
      </w:r>
      <w:proofErr w:type="spellEnd"/>
      <w:r w:rsidRPr="00C517CD">
        <w:t>[id] they ha</w:t>
      </w:r>
      <w:r w:rsidR="00B13F12" w:rsidRPr="00C517CD">
        <w:t>[d]</w:t>
      </w:r>
      <w:r w:rsidRPr="00C517CD">
        <w:t xml:space="preserve"> nothing to rely upon.”</w:t>
      </w:r>
      <w:r w:rsidRPr="00C517CD">
        <w:rPr>
          <w:rStyle w:val="FootnoteReference"/>
        </w:rPr>
        <w:footnoteReference w:id="72"/>
      </w:r>
      <w:r w:rsidRPr="00C517CD">
        <w:t xml:space="preserve"> This passage conveys that although the treaty was established, bands in Treaty 4 did not view their relationship with the crown as secure and mutually beneficial, as obligations and promises were not kept.  </w:t>
      </w:r>
    </w:p>
    <w:p w14:paraId="244DC52A" w14:textId="5E4CF847" w:rsidR="008E179C" w:rsidRPr="00C517CD" w:rsidRDefault="00A5386A" w:rsidP="00D04E9E">
      <w:pPr>
        <w:spacing w:line="480" w:lineRule="auto"/>
        <w:ind w:firstLine="720"/>
      </w:pPr>
      <w:r w:rsidRPr="00C517CD">
        <w:t>The ‘Home Farm Experiment</w:t>
      </w:r>
      <w:r w:rsidR="00CE7D4F" w:rsidRPr="00C517CD">
        <w:t>’ failed</w:t>
      </w:r>
      <w:r w:rsidRPr="00C517CD">
        <w:t xml:space="preserve"> substantially as the government employed ‘strangers’ who were unable to meaningfully communicate with band members. These chosen farmers had difficulty in caring for their own farms as well as balancing the duties they were paid to do, which was to assist in the upkeep of the reserve farms. Again, it was assumed that </w:t>
      </w:r>
      <w:r w:rsidR="00CE7D4F" w:rsidRPr="00C517CD">
        <w:t>Indigenous</w:t>
      </w:r>
      <w:r w:rsidRPr="00C517CD">
        <w:t xml:space="preserve"> people</w:t>
      </w:r>
      <w:r w:rsidR="00B13F12" w:rsidRPr="00C517CD">
        <w:t>s</w:t>
      </w:r>
      <w:r w:rsidRPr="00C517CD">
        <w:t xml:space="preserve"> would inevitably fail, and thus, were blamed for the failure of the ‘experiment.’</w:t>
      </w:r>
      <w:r w:rsidRPr="00C517CD">
        <w:rPr>
          <w:rStyle w:val="FootnoteReference"/>
        </w:rPr>
        <w:footnoteReference w:id="73"/>
      </w:r>
      <w:r w:rsidRPr="00C517CD">
        <w:t xml:space="preserve"> It should be noted that at this time Pasquas band had begun cultivating the soil on their lands, which could indicate that they were having </w:t>
      </w:r>
      <w:r w:rsidR="00B13F12" w:rsidRPr="00C517CD">
        <w:t xml:space="preserve">some </w:t>
      </w:r>
      <w:r w:rsidRPr="00C517CD">
        <w:t xml:space="preserve">success. In terms of seed, in 1879 it </w:t>
      </w:r>
      <w:r w:rsidRPr="00C517CD">
        <w:lastRenderedPageBreak/>
        <w:t>had been reported that Pasquas band was given 93 bushels of potatoes, 5 of barely and 6 of corn, along with garden seeds.</w:t>
      </w:r>
      <w:r w:rsidRPr="00C517CD">
        <w:rPr>
          <w:rStyle w:val="FootnoteReference"/>
        </w:rPr>
        <w:footnoteReference w:id="74"/>
      </w:r>
      <w:r w:rsidRPr="00C517CD">
        <w:t xml:space="preserve"> The agricultural implements received were; 2 hoes, </w:t>
      </w:r>
      <w:r w:rsidR="00CE7D4F" w:rsidRPr="00C517CD">
        <w:t>9?</w:t>
      </w:r>
      <w:r w:rsidRPr="00C517CD">
        <w:t xml:space="preserve"> and 9 whetstones. One yoke of oxen was </w:t>
      </w:r>
      <w:r w:rsidR="00B13F12" w:rsidRPr="00C517CD">
        <w:t xml:space="preserve">given </w:t>
      </w:r>
      <w:r w:rsidRPr="00C517CD">
        <w:t xml:space="preserve">to </w:t>
      </w:r>
      <w:r w:rsidR="00B13F12" w:rsidRPr="00C517CD">
        <w:t xml:space="preserve">be used to </w:t>
      </w:r>
      <w:r w:rsidRPr="00C517CD">
        <w:t>plough their reserve that was home to in between 30-50 families at this time.</w:t>
      </w:r>
      <w:r w:rsidRPr="00C517CD">
        <w:rPr>
          <w:rStyle w:val="FootnoteReference"/>
        </w:rPr>
        <w:footnoteReference w:id="75"/>
      </w:r>
      <w:r w:rsidRPr="00C517CD">
        <w:t xml:space="preserve"> The amount of supplies given to Pasquas band was insufficient compared to the amount of people present on his reserve. This report exemplifies the failures present in Treaty 4 due to the government's lack of consideration in regard to the differing population sizes of bands.</w:t>
      </w:r>
      <w:r w:rsidRPr="00C517CD">
        <w:rPr>
          <w:rStyle w:val="FootnoteReference"/>
        </w:rPr>
        <w:footnoteReference w:id="76"/>
      </w:r>
      <w:r w:rsidRPr="00C517CD">
        <w:t xml:space="preserve"> </w:t>
      </w:r>
    </w:p>
    <w:p w14:paraId="761B60F5" w14:textId="371B7987" w:rsidR="008E179C" w:rsidRPr="00C517CD" w:rsidRDefault="008148E2" w:rsidP="008E179C">
      <w:pPr>
        <w:spacing w:line="480" w:lineRule="auto"/>
        <w:ind w:firstLine="720"/>
        <w:jc w:val="center"/>
        <w:rPr>
          <w:b/>
          <w:bCs/>
        </w:rPr>
      </w:pPr>
      <w:r w:rsidRPr="00C517CD">
        <w:rPr>
          <w:b/>
          <w:bCs/>
        </w:rPr>
        <w:t>‘</w:t>
      </w:r>
      <w:r w:rsidR="008E179C" w:rsidRPr="00C517CD">
        <w:rPr>
          <w:b/>
          <w:bCs/>
        </w:rPr>
        <w:t>Home Farm Policy</w:t>
      </w:r>
      <w:r w:rsidRPr="00C517CD">
        <w:rPr>
          <w:b/>
          <w:bCs/>
        </w:rPr>
        <w:t>’</w:t>
      </w:r>
      <w:r w:rsidR="008E179C" w:rsidRPr="00C517CD">
        <w:rPr>
          <w:b/>
          <w:bCs/>
        </w:rPr>
        <w:t xml:space="preserve"> Era (1879-1884)</w:t>
      </w:r>
    </w:p>
    <w:p w14:paraId="49D339EE" w14:textId="68566D2F" w:rsidR="00042F46" w:rsidRDefault="00B00223" w:rsidP="00042F46">
      <w:pPr>
        <w:pStyle w:val="NormalWeb"/>
        <w:spacing w:line="480" w:lineRule="auto"/>
        <w:ind w:firstLine="720"/>
      </w:pPr>
      <w:r w:rsidRPr="00C517CD">
        <w:t>The latter part of the 1870s and early 1880s were marked by the creation and implementation of the ‘Home Farm Experiment.’ As previously stated, this experiment failed greatly due to the inadequate and ignorant implementation headed by the government. Historian Gretchen Albers highlights the government’s failure in reference to fulfilling treaty promises, noting that during this time “focus moved away from delivering agricultural implements and animals to bands and families as promised in the treaty to instead supplying the government farms with such items.”</w:t>
      </w:r>
      <w:r w:rsidR="00056D95">
        <w:rPr>
          <w:rStyle w:val="FootnoteReference"/>
        </w:rPr>
        <w:footnoteReference w:id="77"/>
      </w:r>
      <w:r w:rsidR="00056D95">
        <w:t xml:space="preserve"> </w:t>
      </w:r>
      <w:r w:rsidRPr="00C517CD">
        <w:t xml:space="preserve">This is a significant factor to take into consideration when reviewing the accounts/reports that were recorded for the freighting and dispersal of agricultural implements, provisions and livestock spanning the years between 1879-1884. Although attention was paid to instructor farms over reserve farms, neither saw immense success. Failure in regard to farming and thus community building stemmed largely from the drastic weather conditions faced by those living in the plains. In addition, Indigenous peoples contended with strict </w:t>
      </w:r>
      <w:r w:rsidRPr="00C517CD">
        <w:lastRenderedPageBreak/>
        <w:t>stipulations enacted by the Indian Act, prohibiting them “from selling, exchanging, bartering, or giving away any produce grown on their reserves without the permission of department officials.”</w:t>
      </w:r>
      <w:r w:rsidR="00056D95" w:rsidRPr="00056D95">
        <w:rPr>
          <w:rStyle w:val="FootnoteReference"/>
        </w:rPr>
        <w:t xml:space="preserve"> </w:t>
      </w:r>
      <w:r w:rsidR="00056D95">
        <w:rPr>
          <w:rStyle w:val="FootnoteReference"/>
        </w:rPr>
        <w:footnoteReference w:id="78"/>
      </w:r>
      <w:r w:rsidRPr="00C517CD">
        <w:t xml:space="preserve"> The seizing of control and independence, inflicted by the government, contradicted their ultimate desire to have bands become independent from them, and therefore, decrease their overall expenditures. </w:t>
      </w:r>
    </w:p>
    <w:p w14:paraId="520F2588" w14:textId="750B85F9" w:rsidR="00042F46" w:rsidRPr="00D04E9E" w:rsidRDefault="00C517CD" w:rsidP="00D04E9E">
      <w:pPr>
        <w:spacing w:line="480" w:lineRule="auto"/>
        <w:ind w:firstLine="720"/>
        <w:textAlignment w:val="baseline"/>
        <w:rPr>
          <w:color w:val="000000"/>
        </w:rPr>
      </w:pPr>
      <w:r w:rsidRPr="00B00223">
        <w:rPr>
          <w:color w:val="000000"/>
        </w:rPr>
        <w:t xml:space="preserve">The visit </w:t>
      </w:r>
      <w:r>
        <w:rPr>
          <w:color w:val="000000"/>
        </w:rPr>
        <w:t>from His</w:t>
      </w:r>
      <w:r w:rsidRPr="00B00223">
        <w:rPr>
          <w:color w:val="000000"/>
        </w:rPr>
        <w:t xml:space="preserve"> Excellency</w:t>
      </w:r>
      <w:r>
        <w:rPr>
          <w:color w:val="000000"/>
        </w:rPr>
        <w:t xml:space="preserve"> </w:t>
      </w:r>
      <w:r w:rsidRPr="00B00223">
        <w:rPr>
          <w:color w:val="000000"/>
        </w:rPr>
        <w:t>was used as a method to sooth fears</w:t>
      </w:r>
      <w:r>
        <w:rPr>
          <w:color w:val="000000"/>
        </w:rPr>
        <w:t xml:space="preserve"> and alleviate the </w:t>
      </w:r>
      <w:r w:rsidRPr="00B00223">
        <w:rPr>
          <w:color w:val="000000"/>
        </w:rPr>
        <w:t xml:space="preserve">complaints and anger felt by the </w:t>
      </w:r>
      <w:r>
        <w:rPr>
          <w:color w:val="000000"/>
        </w:rPr>
        <w:t>chiefs and members included in</w:t>
      </w:r>
      <w:r w:rsidRPr="00B00223">
        <w:rPr>
          <w:color w:val="000000"/>
        </w:rPr>
        <w:t xml:space="preserve"> Treaty 4. </w:t>
      </w:r>
      <w:r>
        <w:rPr>
          <w:color w:val="000000"/>
        </w:rPr>
        <w:t>This was done in a manner that made</w:t>
      </w:r>
      <w:r w:rsidRPr="00B00223">
        <w:rPr>
          <w:color w:val="000000"/>
        </w:rPr>
        <w:t xml:space="preserve"> </w:t>
      </w:r>
      <w:r>
        <w:rPr>
          <w:color w:val="000000"/>
        </w:rPr>
        <w:t>bands</w:t>
      </w:r>
      <w:r w:rsidRPr="00B00223">
        <w:rPr>
          <w:color w:val="000000"/>
        </w:rPr>
        <w:t xml:space="preserve"> feel as though they had a</w:t>
      </w:r>
      <w:r w:rsidR="009F0242">
        <w:rPr>
          <w:color w:val="000000"/>
        </w:rPr>
        <w:t xml:space="preserve"> say, much like in treaty negotiations. Bands saw this visit as an</w:t>
      </w:r>
      <w:r w:rsidRPr="00B00223">
        <w:rPr>
          <w:color w:val="000000"/>
        </w:rPr>
        <w:t xml:space="preserve"> opportunity to have their challenges and dissatisfaction not only heard but mitigated as well. However, this visit was yet another way to deceive bands into feeling a sense of control, as His Excellency stated upon his arrival that he could do nothing to alter their treaties. Dewdney relay</w:t>
      </w:r>
      <w:r w:rsidR="006274E2">
        <w:rPr>
          <w:color w:val="000000"/>
        </w:rPr>
        <w:t>s</w:t>
      </w:r>
      <w:r>
        <w:rPr>
          <w:color w:val="000000"/>
        </w:rPr>
        <w:t xml:space="preserve"> </w:t>
      </w:r>
      <w:r w:rsidRPr="00B00223">
        <w:rPr>
          <w:color w:val="000000"/>
        </w:rPr>
        <w:t xml:space="preserve">that His Excellency acknowledged the challenges that </w:t>
      </w:r>
      <w:r>
        <w:rPr>
          <w:color w:val="000000"/>
        </w:rPr>
        <w:t xml:space="preserve">bands </w:t>
      </w:r>
      <w:r w:rsidRPr="00B00223">
        <w:rPr>
          <w:color w:val="000000"/>
        </w:rPr>
        <w:t>faced and understood that they were in dire need of more provisions</w:t>
      </w:r>
      <w:r>
        <w:rPr>
          <w:color w:val="000000"/>
        </w:rPr>
        <w:t>, stating</w:t>
      </w:r>
      <w:r w:rsidRPr="00B00223">
        <w:rPr>
          <w:color w:val="000000"/>
        </w:rPr>
        <w:t xml:space="preserve"> that he would bring the matters up with his council. </w:t>
      </w:r>
      <w:r>
        <w:rPr>
          <w:color w:val="000000"/>
        </w:rPr>
        <w:t>Ultimately, t</w:t>
      </w:r>
      <w:r w:rsidRPr="00B00223">
        <w:rPr>
          <w:color w:val="000000"/>
        </w:rPr>
        <w:t xml:space="preserve">he inadequacies of Treaty 4 </w:t>
      </w:r>
      <w:r>
        <w:rPr>
          <w:color w:val="000000"/>
        </w:rPr>
        <w:t>were fully</w:t>
      </w:r>
      <w:r w:rsidRPr="00B00223">
        <w:rPr>
          <w:color w:val="000000"/>
        </w:rPr>
        <w:t xml:space="preserve"> understood</w:t>
      </w:r>
      <w:r>
        <w:rPr>
          <w:color w:val="000000"/>
        </w:rPr>
        <w:t xml:space="preserve"> by the</w:t>
      </w:r>
      <w:r w:rsidRPr="00B00223">
        <w:rPr>
          <w:color w:val="000000"/>
        </w:rPr>
        <w:t xml:space="preserve"> government</w:t>
      </w:r>
      <w:r>
        <w:rPr>
          <w:color w:val="000000"/>
        </w:rPr>
        <w:t>, as they</w:t>
      </w:r>
      <w:r w:rsidRPr="00B00223">
        <w:rPr>
          <w:color w:val="000000"/>
        </w:rPr>
        <w:t xml:space="preserve"> </w:t>
      </w:r>
      <w:r>
        <w:rPr>
          <w:color w:val="000000"/>
        </w:rPr>
        <w:t xml:space="preserve">were </w:t>
      </w:r>
      <w:r w:rsidRPr="00B00223">
        <w:rPr>
          <w:color w:val="000000"/>
        </w:rPr>
        <w:t xml:space="preserve">aware that the numbers of cattle and implements promised under treaty </w:t>
      </w:r>
      <w:r>
        <w:rPr>
          <w:color w:val="000000"/>
        </w:rPr>
        <w:t>wer</w:t>
      </w:r>
      <w:r w:rsidRPr="00B00223">
        <w:rPr>
          <w:color w:val="000000"/>
        </w:rPr>
        <w:t>e insufficient.</w:t>
      </w:r>
      <w:r>
        <w:rPr>
          <w:color w:val="000000"/>
        </w:rPr>
        <w:t xml:space="preserve"> The meeting with His Excellency </w:t>
      </w:r>
      <w:r w:rsidRPr="00B00223">
        <w:rPr>
          <w:color w:val="000000"/>
        </w:rPr>
        <w:t xml:space="preserve">only served as an act of </w:t>
      </w:r>
      <w:r>
        <w:rPr>
          <w:color w:val="000000"/>
        </w:rPr>
        <w:t>‘</w:t>
      </w:r>
      <w:r w:rsidRPr="00B00223">
        <w:rPr>
          <w:color w:val="000000"/>
        </w:rPr>
        <w:t>lip service,</w:t>
      </w:r>
      <w:r>
        <w:rPr>
          <w:color w:val="000000"/>
        </w:rPr>
        <w:t>’</w:t>
      </w:r>
      <w:r w:rsidRPr="00B00223">
        <w:rPr>
          <w:color w:val="000000"/>
        </w:rPr>
        <w:t xml:space="preserve"> as the governing party made further promises that were most likely never kept.</w:t>
      </w:r>
      <w:r w:rsidR="00056D95" w:rsidRPr="00056D95">
        <w:rPr>
          <w:rStyle w:val="FootnoteReference"/>
          <w:color w:val="000000"/>
        </w:rPr>
        <w:t xml:space="preserve"> </w:t>
      </w:r>
      <w:r w:rsidR="00056D95">
        <w:rPr>
          <w:rStyle w:val="FootnoteReference"/>
          <w:color w:val="000000"/>
        </w:rPr>
        <w:footnoteReference w:id="79"/>
      </w:r>
      <w:r w:rsidR="00056D95">
        <w:rPr>
          <w:color w:val="000000"/>
        </w:rPr>
        <w:t xml:space="preserve"> </w:t>
      </w:r>
      <w:r w:rsidR="00D04E9E">
        <w:rPr>
          <w:color w:val="000000"/>
        </w:rPr>
        <w:t xml:space="preserve">A. </w:t>
      </w:r>
      <w:r w:rsidR="00D04E9E" w:rsidRPr="00B00223">
        <w:rPr>
          <w:color w:val="000000"/>
        </w:rPr>
        <w:t xml:space="preserve">Macdonald stated in his report from December of 1882 that the visit from His Excellency worked as a </w:t>
      </w:r>
      <w:r w:rsidR="00D04E9E" w:rsidRPr="00B00223">
        <w:rPr>
          <w:color w:val="000000"/>
        </w:rPr>
        <w:lastRenderedPageBreak/>
        <w:t xml:space="preserve">method to reassure Treaty 4 members that their interests were aligned with and “identical” to the </w:t>
      </w:r>
      <w:r w:rsidR="00D04E9E">
        <w:rPr>
          <w:color w:val="000000"/>
        </w:rPr>
        <w:t>C</w:t>
      </w:r>
      <w:r w:rsidR="00D04E9E" w:rsidRPr="00B00223">
        <w:rPr>
          <w:color w:val="000000"/>
        </w:rPr>
        <w:t>rowns.</w:t>
      </w:r>
      <w:r w:rsidR="00056D95">
        <w:rPr>
          <w:color w:val="000000"/>
        </w:rPr>
        <w:t xml:space="preserve"> </w:t>
      </w:r>
      <w:r w:rsidR="00D04E9E" w:rsidRPr="00B00223">
        <w:rPr>
          <w:color w:val="000000"/>
        </w:rPr>
        <w:t>However, this statement alludes to the continuous promises that were made and the differing interpretations that were still present among both of the ‘sides.’ In addition, Macdonald note</w:t>
      </w:r>
      <w:r w:rsidR="006274E2">
        <w:rPr>
          <w:color w:val="000000"/>
        </w:rPr>
        <w:t>s</w:t>
      </w:r>
      <w:r w:rsidR="00D04E9E" w:rsidRPr="00B00223">
        <w:rPr>
          <w:color w:val="000000"/>
        </w:rPr>
        <w:t xml:space="preserve"> that in his opinion th</w:t>
      </w:r>
      <w:r w:rsidR="00D04E9E">
        <w:rPr>
          <w:color w:val="000000"/>
        </w:rPr>
        <w:t>e</w:t>
      </w:r>
      <w:r w:rsidR="00D04E9E" w:rsidRPr="00B00223">
        <w:rPr>
          <w:color w:val="000000"/>
        </w:rPr>
        <w:t xml:space="preserve"> visit worked to solidify the ‘unchangeable’ nature of their treaty.</w:t>
      </w:r>
      <w:r w:rsidR="00056D95">
        <w:rPr>
          <w:color w:val="000000"/>
        </w:rPr>
        <w:t xml:space="preserve"> </w:t>
      </w:r>
      <w:r w:rsidR="00D04E9E" w:rsidRPr="00B00223">
        <w:rPr>
          <w:color w:val="000000"/>
        </w:rPr>
        <w:t>Government officials still viewed requests for what was promised through treaty as excuses.</w:t>
      </w:r>
      <w:r w:rsidR="00056D95">
        <w:rPr>
          <w:rStyle w:val="FootnoteReference"/>
          <w:color w:val="000000"/>
        </w:rPr>
        <w:footnoteReference w:id="80"/>
      </w:r>
      <w:r w:rsidR="00056D95" w:rsidRPr="00B00223">
        <w:rPr>
          <w:color w:val="000000"/>
        </w:rPr>
        <w:t xml:space="preserve"> </w:t>
      </w:r>
    </w:p>
    <w:p w14:paraId="0C23BE2D" w14:textId="2802E3C1" w:rsidR="009B425D" w:rsidRPr="009B425D" w:rsidRDefault="00D04E9E" w:rsidP="00DF6361">
      <w:pPr>
        <w:spacing w:line="480" w:lineRule="auto"/>
        <w:ind w:firstLine="720"/>
        <w:textAlignment w:val="baseline"/>
        <w:rPr>
          <w:color w:val="000000"/>
        </w:rPr>
      </w:pPr>
      <w:r>
        <w:rPr>
          <w:color w:val="000000"/>
        </w:rPr>
        <w:t>During</w:t>
      </w:r>
      <w:r w:rsidR="009B425D" w:rsidRPr="00B00223">
        <w:rPr>
          <w:color w:val="000000"/>
        </w:rPr>
        <w:t xml:space="preserve"> the final year of the ‘home farm policy’ era, fears of a possible uprising taking place across the west were prevailing. </w:t>
      </w:r>
      <w:r w:rsidR="00DF6361" w:rsidRPr="00B00223">
        <w:rPr>
          <w:color w:val="000000"/>
        </w:rPr>
        <w:t xml:space="preserve">In R. </w:t>
      </w:r>
      <w:proofErr w:type="spellStart"/>
      <w:r w:rsidR="00DF6361" w:rsidRPr="00B00223">
        <w:rPr>
          <w:color w:val="000000"/>
        </w:rPr>
        <w:t>Mckinnons</w:t>
      </w:r>
      <w:proofErr w:type="spellEnd"/>
      <w:r w:rsidR="00DF6361" w:rsidRPr="00B00223">
        <w:rPr>
          <w:color w:val="000000"/>
        </w:rPr>
        <w:t xml:space="preserve"> 1884 letter he expresse</w:t>
      </w:r>
      <w:r w:rsidR="006274E2">
        <w:rPr>
          <w:color w:val="000000"/>
        </w:rPr>
        <w:t>s</w:t>
      </w:r>
      <w:r w:rsidR="00DF6361" w:rsidRPr="00B00223">
        <w:rPr>
          <w:color w:val="000000"/>
        </w:rPr>
        <w:t xml:space="preserve"> growing fears of an uprising influenced by Chief Piapot.</w:t>
      </w:r>
      <w:r w:rsidR="00056D95">
        <w:rPr>
          <w:rStyle w:val="FootnoteReference"/>
          <w:color w:val="000000"/>
        </w:rPr>
        <w:footnoteReference w:id="81"/>
      </w:r>
      <w:r w:rsidR="00DF6361" w:rsidRPr="00B00223">
        <w:rPr>
          <w:color w:val="000000"/>
        </w:rPr>
        <w:t xml:space="preserve"> </w:t>
      </w:r>
      <w:r w:rsidR="009B425D" w:rsidRPr="00B00223">
        <w:rPr>
          <w:color w:val="000000"/>
        </w:rPr>
        <w:t xml:space="preserve">The government understood that dissatisfaction was prevalent among some bands and had fears of </w:t>
      </w:r>
      <w:r w:rsidR="009B425D">
        <w:rPr>
          <w:color w:val="000000"/>
        </w:rPr>
        <w:t xml:space="preserve">them </w:t>
      </w:r>
      <w:r w:rsidR="009B425D" w:rsidRPr="00B00223">
        <w:rPr>
          <w:color w:val="000000"/>
        </w:rPr>
        <w:t xml:space="preserve">communicating their struggles with one another and joining forces against </w:t>
      </w:r>
      <w:r w:rsidR="009B425D">
        <w:rPr>
          <w:color w:val="000000"/>
        </w:rPr>
        <w:t>the government and settlers</w:t>
      </w:r>
      <w:r w:rsidR="009B425D" w:rsidRPr="00B00223">
        <w:rPr>
          <w:color w:val="000000"/>
        </w:rPr>
        <w:t xml:space="preserve">. These fears ultimately led to strict government control over many aspects of Indigenous lives, </w:t>
      </w:r>
      <w:r w:rsidR="009B425D">
        <w:rPr>
          <w:color w:val="000000"/>
        </w:rPr>
        <w:t>which included</w:t>
      </w:r>
      <w:r w:rsidR="009B425D" w:rsidRPr="00B00223">
        <w:rPr>
          <w:color w:val="000000"/>
        </w:rPr>
        <w:t xml:space="preserve"> the creation of the pass system which significantly limited the movement of band members.</w:t>
      </w:r>
      <w:r w:rsidR="00056D95">
        <w:rPr>
          <w:rStyle w:val="FootnoteReference"/>
          <w:color w:val="000000"/>
        </w:rPr>
        <w:footnoteReference w:id="82"/>
      </w:r>
      <w:r w:rsidR="009B425D" w:rsidRPr="00B00223">
        <w:rPr>
          <w:color w:val="000000"/>
        </w:rPr>
        <w:t xml:space="preserve"> </w:t>
      </w:r>
      <w:r w:rsidR="00DF6361">
        <w:rPr>
          <w:color w:val="000000"/>
        </w:rPr>
        <w:t>Edgar Dewdney introduced this restrictive system, as well as the ‘home farm policy.’  He played a significant role in mitigating the spread of dissatisfaction between bands throughout the 1885 rebellion and worked to manage settlers worries.</w:t>
      </w:r>
      <w:r w:rsidR="00056D95">
        <w:rPr>
          <w:rStyle w:val="FootnoteReference"/>
          <w:color w:val="000000"/>
        </w:rPr>
        <w:footnoteReference w:id="83"/>
      </w:r>
    </w:p>
    <w:p w14:paraId="5C300F3E" w14:textId="4A8E68B3" w:rsidR="008E179C" w:rsidRPr="00C517CD" w:rsidRDefault="008E179C" w:rsidP="008E179C">
      <w:pPr>
        <w:spacing w:line="480" w:lineRule="auto"/>
        <w:jc w:val="center"/>
      </w:pPr>
      <w:r w:rsidRPr="00C517CD">
        <w:t>Annuities, Agricultural Implements, Provisions and Livestock</w:t>
      </w:r>
    </w:p>
    <w:p w14:paraId="13ECF2F7" w14:textId="719C6A40" w:rsidR="00B00223" w:rsidRPr="00C517CD" w:rsidRDefault="008E179C" w:rsidP="00B00223">
      <w:pPr>
        <w:pStyle w:val="NormalWeb"/>
        <w:spacing w:before="240" w:beforeAutospacing="0" w:after="0" w:afterAutospacing="0" w:line="480" w:lineRule="auto"/>
        <w:textAlignment w:val="baseline"/>
        <w:rPr>
          <w:color w:val="000000"/>
        </w:rPr>
      </w:pPr>
      <w:r w:rsidRPr="00C517CD">
        <w:rPr>
          <w:b/>
        </w:rPr>
        <w:t xml:space="preserve">1) 1879-80.  </w:t>
      </w:r>
      <w:r w:rsidR="00B00223" w:rsidRPr="00C517CD">
        <w:rPr>
          <w:bCs/>
        </w:rPr>
        <w:t xml:space="preserve">In the summer of 1880 </w:t>
      </w:r>
      <w:r w:rsidR="00B00223" w:rsidRPr="00C517CD">
        <w:rPr>
          <w:bCs/>
          <w:color w:val="000000"/>
        </w:rPr>
        <w:t>Macdonald noted that a number of Indians had camped around Qu’Appelle and continuously asked for assistance</w:t>
      </w:r>
      <w:r w:rsidR="00B00223" w:rsidRPr="00C517CD">
        <w:rPr>
          <w:color w:val="000000"/>
        </w:rPr>
        <w:t>/relief as they feared death due to starvation without. He denie</w:t>
      </w:r>
      <w:r w:rsidR="00DF6361">
        <w:rPr>
          <w:color w:val="000000"/>
        </w:rPr>
        <w:t>d</w:t>
      </w:r>
      <w:r w:rsidR="00B00223" w:rsidRPr="00C517CD">
        <w:rPr>
          <w:color w:val="000000"/>
        </w:rPr>
        <w:t xml:space="preserve"> their request</w:t>
      </w:r>
      <w:r w:rsidR="00DF6361">
        <w:rPr>
          <w:color w:val="000000"/>
        </w:rPr>
        <w:t>s</w:t>
      </w:r>
      <w:r w:rsidR="00B00223" w:rsidRPr="00C517CD">
        <w:rPr>
          <w:color w:val="000000"/>
        </w:rPr>
        <w:t>, however, he d</w:t>
      </w:r>
      <w:r w:rsidR="00DF6361">
        <w:rPr>
          <w:color w:val="000000"/>
        </w:rPr>
        <w:t xml:space="preserve">id </w:t>
      </w:r>
      <w:r w:rsidR="00B00223" w:rsidRPr="00C517CD">
        <w:rPr>
          <w:color w:val="000000"/>
        </w:rPr>
        <w:t xml:space="preserve">state that upon their settling on a </w:t>
      </w:r>
      <w:r w:rsidR="00B00223" w:rsidRPr="00C517CD">
        <w:rPr>
          <w:color w:val="000000"/>
        </w:rPr>
        <w:lastRenderedPageBreak/>
        <w:t>reserve they would receive the assistance that they needed</w:t>
      </w:r>
      <w:r w:rsidR="006274E2">
        <w:rPr>
          <w:color w:val="000000"/>
        </w:rPr>
        <w:t>.</w:t>
      </w:r>
      <w:r w:rsidR="006274E2">
        <w:rPr>
          <w:rStyle w:val="FootnoteReference"/>
          <w:color w:val="000000"/>
        </w:rPr>
        <w:footnoteReference w:id="84"/>
      </w:r>
      <w:r w:rsidR="006274E2">
        <w:rPr>
          <w:color w:val="000000"/>
        </w:rPr>
        <w:t xml:space="preserve"> </w:t>
      </w:r>
      <w:r w:rsidR="00B00223" w:rsidRPr="00C517CD">
        <w:rPr>
          <w:color w:val="000000"/>
        </w:rPr>
        <w:t xml:space="preserve">Stated within this report are two contradictory views, one directly followed by the other. Macdonald </w:t>
      </w:r>
      <w:r w:rsidR="006274E2" w:rsidRPr="00C517CD">
        <w:rPr>
          <w:color w:val="000000"/>
        </w:rPr>
        <w:t>relay</w:t>
      </w:r>
      <w:r w:rsidR="006274E2">
        <w:rPr>
          <w:color w:val="000000"/>
        </w:rPr>
        <w:t>s</w:t>
      </w:r>
      <w:r w:rsidR="00D04E9E">
        <w:rPr>
          <w:color w:val="000000"/>
        </w:rPr>
        <w:t xml:space="preserve"> </w:t>
      </w:r>
      <w:r w:rsidR="00B00223" w:rsidRPr="00C517CD">
        <w:rPr>
          <w:color w:val="000000"/>
        </w:rPr>
        <w:t>his frustration with the Plains Cree, viewing them as ignorant to farming and relying far too heavily on their previous ways of life, such as hunting and fishing, causing the government to provide further assistance. However, directly preceding this statement, Macdonald acknowledge</w:t>
      </w:r>
      <w:r w:rsidR="00D04E9E">
        <w:rPr>
          <w:color w:val="000000"/>
        </w:rPr>
        <w:t>d</w:t>
      </w:r>
      <w:r w:rsidR="00B00223" w:rsidRPr="00C517CD">
        <w:rPr>
          <w:color w:val="000000"/>
        </w:rPr>
        <w:t xml:space="preserve"> that </w:t>
      </w:r>
      <w:r w:rsidR="00DF6361">
        <w:rPr>
          <w:color w:val="000000"/>
        </w:rPr>
        <w:t>bands</w:t>
      </w:r>
      <w:r w:rsidR="00B00223" w:rsidRPr="00C517CD">
        <w:rPr>
          <w:color w:val="000000"/>
        </w:rPr>
        <w:t xml:space="preserve"> </w:t>
      </w:r>
      <w:r w:rsidR="00D04E9E">
        <w:rPr>
          <w:color w:val="000000"/>
        </w:rPr>
        <w:t>were</w:t>
      </w:r>
      <w:r w:rsidR="00B00223" w:rsidRPr="00C517CD">
        <w:rPr>
          <w:color w:val="000000"/>
        </w:rPr>
        <w:t xml:space="preserve"> willing to work and learn. These contrasting opinions demonstrate the</w:t>
      </w:r>
      <w:r w:rsidR="00DF6361">
        <w:rPr>
          <w:color w:val="000000"/>
        </w:rPr>
        <w:t xml:space="preserve"> </w:t>
      </w:r>
      <w:r w:rsidR="00D04E9E">
        <w:rPr>
          <w:color w:val="000000"/>
        </w:rPr>
        <w:t>often-contradictory</w:t>
      </w:r>
      <w:r w:rsidR="00DF6361">
        <w:rPr>
          <w:color w:val="000000"/>
        </w:rPr>
        <w:t xml:space="preserve"> opinions held by the government</w:t>
      </w:r>
      <w:r w:rsidR="00056D95">
        <w:rPr>
          <w:color w:val="000000"/>
        </w:rPr>
        <w:t>.</w:t>
      </w:r>
      <w:r w:rsidR="00BA6375">
        <w:rPr>
          <w:rStyle w:val="FootnoteReference"/>
          <w:color w:val="000000"/>
        </w:rPr>
        <w:footnoteReference w:id="85"/>
      </w:r>
    </w:p>
    <w:p w14:paraId="7483C669" w14:textId="012CCA00" w:rsidR="00B00223" w:rsidRPr="00C517CD" w:rsidRDefault="00B00223" w:rsidP="00B00223">
      <w:pPr>
        <w:pStyle w:val="NormalWeb"/>
        <w:spacing w:before="0" w:beforeAutospacing="0" w:after="0" w:afterAutospacing="0" w:line="480" w:lineRule="auto"/>
        <w:ind w:firstLine="720"/>
        <w:textAlignment w:val="baseline"/>
        <w:rPr>
          <w:color w:val="000000"/>
        </w:rPr>
      </w:pPr>
      <w:r w:rsidRPr="00C517CD">
        <w:rPr>
          <w:color w:val="000000"/>
        </w:rPr>
        <w:t xml:space="preserve">Six years into the relationship and promises that were solidified by Treaty 4, bands were still forced to deal with challenges in respect to the late delivery and dispersal of provisions needed for planting, especially seed. </w:t>
      </w:r>
      <w:r w:rsidRPr="006274E2">
        <w:rPr>
          <w:color w:val="000000"/>
        </w:rPr>
        <w:t>Edwin</w:t>
      </w:r>
      <w:r w:rsidR="00DF6361" w:rsidRPr="006274E2">
        <w:rPr>
          <w:color w:val="000000"/>
        </w:rPr>
        <w:t xml:space="preserve"> Allen</w:t>
      </w:r>
      <w:r w:rsidR="00DF6361">
        <w:rPr>
          <w:color w:val="000000"/>
        </w:rPr>
        <w:t xml:space="preserve"> </w:t>
      </w:r>
      <w:r w:rsidRPr="00C517CD">
        <w:rPr>
          <w:color w:val="000000"/>
        </w:rPr>
        <w:t xml:space="preserve">noted </w:t>
      </w:r>
      <w:r w:rsidR="00DF6361">
        <w:rPr>
          <w:color w:val="000000"/>
        </w:rPr>
        <w:t xml:space="preserve">in a letter to the Superintendent General of Indian Affairs </w:t>
      </w:r>
      <w:r w:rsidRPr="00C517CD">
        <w:rPr>
          <w:color w:val="000000"/>
        </w:rPr>
        <w:t xml:space="preserve">that bands did not receive the correct provisions for the weather associated with their geographical locations, which impacted their ability to successfully grow healthy crops. In addition, during this time the health of bands was severely impacted by scarlet fever, leading to the deaths of many members. However, </w:t>
      </w:r>
      <w:r w:rsidR="00DF6361">
        <w:rPr>
          <w:color w:val="000000"/>
        </w:rPr>
        <w:t>Allen’</w:t>
      </w:r>
      <w:r w:rsidR="00DF6361" w:rsidRPr="00C517CD">
        <w:rPr>
          <w:color w:val="000000"/>
        </w:rPr>
        <w:t>s</w:t>
      </w:r>
      <w:r w:rsidRPr="00C517CD">
        <w:rPr>
          <w:color w:val="000000"/>
        </w:rPr>
        <w:t xml:space="preserve"> report did not indicate whether any members from Pasquas band were affected </w:t>
      </w:r>
      <w:r w:rsidR="00C517CD" w:rsidRPr="00C517CD">
        <w:rPr>
          <w:color w:val="000000"/>
        </w:rPr>
        <w:t>at this time</w:t>
      </w:r>
      <w:r w:rsidRPr="00C517CD">
        <w:rPr>
          <w:color w:val="000000"/>
        </w:rPr>
        <w:t>.</w:t>
      </w:r>
      <w:r w:rsidR="00056D95">
        <w:rPr>
          <w:rStyle w:val="FootnoteReference"/>
          <w:color w:val="000000"/>
        </w:rPr>
        <w:footnoteReference w:id="86"/>
      </w:r>
      <w:r w:rsidRPr="00C517CD">
        <w:rPr>
          <w:color w:val="000000"/>
        </w:rPr>
        <w:t xml:space="preserve"> </w:t>
      </w:r>
    </w:p>
    <w:p w14:paraId="529550B7" w14:textId="595F172F" w:rsidR="00B00223" w:rsidRPr="00C517CD" w:rsidRDefault="00B00223" w:rsidP="00B00223">
      <w:pPr>
        <w:pStyle w:val="NormalWeb"/>
        <w:spacing w:before="0" w:beforeAutospacing="0" w:after="0" w:afterAutospacing="0" w:line="480" w:lineRule="auto"/>
        <w:ind w:firstLine="720"/>
        <w:textAlignment w:val="baseline"/>
        <w:rPr>
          <w:color w:val="000000"/>
        </w:rPr>
      </w:pPr>
      <w:r w:rsidRPr="00C517CD">
        <w:rPr>
          <w:color w:val="000000"/>
        </w:rPr>
        <w:t xml:space="preserve">An additional point of interest in </w:t>
      </w:r>
      <w:r w:rsidR="00056D95">
        <w:rPr>
          <w:color w:val="000000"/>
        </w:rPr>
        <w:t>Allen’s</w:t>
      </w:r>
      <w:r w:rsidR="00DF6361">
        <w:rPr>
          <w:color w:val="000000"/>
        </w:rPr>
        <w:t xml:space="preserve"> 1880</w:t>
      </w:r>
      <w:r w:rsidRPr="00C517CD">
        <w:rPr>
          <w:color w:val="000000"/>
        </w:rPr>
        <w:t xml:space="preserve"> report is the praise </w:t>
      </w:r>
      <w:r w:rsidR="00DF6361">
        <w:rPr>
          <w:color w:val="000000"/>
        </w:rPr>
        <w:t xml:space="preserve">that he gives to </w:t>
      </w:r>
      <w:r w:rsidRPr="00C517CD">
        <w:rPr>
          <w:color w:val="000000"/>
        </w:rPr>
        <w:t xml:space="preserve">Chief Piapot. This praise </w:t>
      </w:r>
      <w:r w:rsidR="00DF6361">
        <w:rPr>
          <w:color w:val="000000"/>
        </w:rPr>
        <w:t>was</w:t>
      </w:r>
      <w:r w:rsidRPr="00C517CD">
        <w:rPr>
          <w:color w:val="000000"/>
        </w:rPr>
        <w:t xml:space="preserve"> in reference to the </w:t>
      </w:r>
      <w:r w:rsidR="00056D95" w:rsidRPr="00C517CD">
        <w:rPr>
          <w:color w:val="000000"/>
        </w:rPr>
        <w:t>chief’s</w:t>
      </w:r>
      <w:r w:rsidRPr="00C517CD">
        <w:rPr>
          <w:color w:val="000000"/>
        </w:rPr>
        <w:t xml:space="preserve"> ability to interfere with a conflict that had occurred between two </w:t>
      </w:r>
      <w:r w:rsidR="00C517CD" w:rsidRPr="00C517CD">
        <w:rPr>
          <w:color w:val="000000"/>
        </w:rPr>
        <w:t xml:space="preserve">other Treaty 4 </w:t>
      </w:r>
      <w:r w:rsidRPr="00C517CD">
        <w:rPr>
          <w:color w:val="000000"/>
        </w:rPr>
        <w:t>chiefs. Edwin state</w:t>
      </w:r>
      <w:r w:rsidR="00C517CD" w:rsidRPr="00C517CD">
        <w:rPr>
          <w:color w:val="000000"/>
        </w:rPr>
        <w:t>d</w:t>
      </w:r>
      <w:r w:rsidRPr="00C517CD">
        <w:rPr>
          <w:color w:val="000000"/>
        </w:rPr>
        <w:t xml:space="preserve"> that </w:t>
      </w:r>
      <w:r w:rsidR="00C517CD" w:rsidRPr="00C517CD">
        <w:rPr>
          <w:color w:val="000000"/>
        </w:rPr>
        <w:t>“</w:t>
      </w:r>
      <w:r w:rsidRPr="00C517CD">
        <w:rPr>
          <w:color w:val="000000"/>
        </w:rPr>
        <w:t xml:space="preserve">were all the Indians of the same temperament of mind as he </w:t>
      </w:r>
      <w:r w:rsidR="00DF6361">
        <w:rPr>
          <w:color w:val="000000"/>
        </w:rPr>
        <w:t>[</w:t>
      </w:r>
      <w:r w:rsidRPr="00C517CD">
        <w:rPr>
          <w:color w:val="000000"/>
        </w:rPr>
        <w:t>appear</w:t>
      </w:r>
      <w:r w:rsidR="00DF6361">
        <w:rPr>
          <w:color w:val="000000"/>
        </w:rPr>
        <w:t>ed]</w:t>
      </w:r>
      <w:r w:rsidRPr="00C517CD">
        <w:rPr>
          <w:color w:val="000000"/>
        </w:rPr>
        <w:t xml:space="preserve"> to be, there would be very little difficulty managing them.</w:t>
      </w:r>
      <w:r w:rsidR="00C517CD" w:rsidRPr="00C517CD">
        <w:rPr>
          <w:color w:val="000000"/>
        </w:rPr>
        <w:t>”</w:t>
      </w:r>
      <w:r w:rsidR="00056D95">
        <w:rPr>
          <w:rStyle w:val="FootnoteReference"/>
          <w:color w:val="000000"/>
        </w:rPr>
        <w:footnoteReference w:id="87"/>
      </w:r>
      <w:r w:rsidRPr="00C517CD">
        <w:rPr>
          <w:color w:val="000000"/>
        </w:rPr>
        <w:t xml:space="preserve"> </w:t>
      </w:r>
      <w:r w:rsidR="00DF6361">
        <w:rPr>
          <w:color w:val="000000"/>
        </w:rPr>
        <w:t xml:space="preserve">Chief Piapot </w:t>
      </w:r>
      <w:r w:rsidR="00D04E9E">
        <w:rPr>
          <w:color w:val="000000"/>
        </w:rPr>
        <w:t>demonstrated</w:t>
      </w:r>
      <w:r w:rsidR="00DF6361">
        <w:rPr>
          <w:color w:val="000000"/>
        </w:rPr>
        <w:t xml:space="preserve"> that he held an immense amount of power over the actions </w:t>
      </w:r>
      <w:r w:rsidR="00DF6361">
        <w:rPr>
          <w:color w:val="000000"/>
        </w:rPr>
        <w:lastRenderedPageBreak/>
        <w:t xml:space="preserve">taken by other chiefs, which at this time was appreciated and encouraged by the </w:t>
      </w:r>
      <w:r w:rsidR="00D04E9E">
        <w:rPr>
          <w:color w:val="000000"/>
        </w:rPr>
        <w:t>government</w:t>
      </w:r>
      <w:r w:rsidR="00DF6361">
        <w:rPr>
          <w:color w:val="000000"/>
        </w:rPr>
        <w:t>. However, this praise</w:t>
      </w:r>
      <w:r w:rsidR="00C517CD" w:rsidRPr="00C517CD">
        <w:rPr>
          <w:color w:val="000000"/>
        </w:rPr>
        <w:t xml:space="preserve"> is ironic, as only </w:t>
      </w:r>
      <w:r w:rsidR="00DF6361">
        <w:rPr>
          <w:color w:val="000000"/>
        </w:rPr>
        <w:t>4</w:t>
      </w:r>
      <w:r w:rsidR="00C517CD" w:rsidRPr="00C517CD">
        <w:rPr>
          <w:color w:val="000000"/>
        </w:rPr>
        <w:t xml:space="preserve"> year</w:t>
      </w:r>
      <w:r w:rsidR="00DF6361">
        <w:rPr>
          <w:color w:val="000000"/>
        </w:rPr>
        <w:t>s</w:t>
      </w:r>
      <w:r w:rsidR="00C517CD" w:rsidRPr="00C517CD">
        <w:rPr>
          <w:color w:val="000000"/>
        </w:rPr>
        <w:t xml:space="preserve"> later Chief Piapot</w:t>
      </w:r>
      <w:r w:rsidR="00D04E9E">
        <w:rPr>
          <w:color w:val="000000"/>
        </w:rPr>
        <w:t xml:space="preserve"> </w:t>
      </w:r>
      <w:r w:rsidR="00C517CD" w:rsidRPr="00C517CD">
        <w:rPr>
          <w:color w:val="000000"/>
        </w:rPr>
        <w:t>would be considered a challenge</w:t>
      </w:r>
      <w:r w:rsidR="00D04E9E">
        <w:rPr>
          <w:color w:val="000000"/>
        </w:rPr>
        <w:t xml:space="preserve">, as well as </w:t>
      </w:r>
      <w:r w:rsidR="00C517CD" w:rsidRPr="00C517CD">
        <w:rPr>
          <w:color w:val="000000"/>
        </w:rPr>
        <w:t xml:space="preserve">a negative influence </w:t>
      </w:r>
      <w:r w:rsidR="00D04E9E" w:rsidRPr="00C517CD">
        <w:rPr>
          <w:color w:val="000000"/>
        </w:rPr>
        <w:t>on</w:t>
      </w:r>
      <w:r w:rsidR="00C517CD" w:rsidRPr="00C517CD">
        <w:rPr>
          <w:color w:val="000000"/>
        </w:rPr>
        <w:t xml:space="preserve"> other bands</w:t>
      </w:r>
      <w:r w:rsidR="00D04E9E">
        <w:rPr>
          <w:color w:val="000000"/>
        </w:rPr>
        <w:t>.</w:t>
      </w:r>
      <w:r w:rsidR="006274E2">
        <w:rPr>
          <w:rStyle w:val="FootnoteReference"/>
          <w:color w:val="000000"/>
        </w:rPr>
        <w:footnoteReference w:id="88"/>
      </w:r>
      <w:r w:rsidR="00D04E9E">
        <w:rPr>
          <w:color w:val="000000"/>
        </w:rPr>
        <w:t xml:space="preserve"> </w:t>
      </w:r>
    </w:p>
    <w:p w14:paraId="54536DE6" w14:textId="72079616" w:rsidR="008E179C" w:rsidRPr="00C517CD" w:rsidRDefault="00B00223" w:rsidP="00B00223">
      <w:pPr>
        <w:pStyle w:val="NormalWeb"/>
        <w:spacing w:before="0" w:beforeAutospacing="0" w:after="0" w:afterAutospacing="0" w:line="480" w:lineRule="auto"/>
        <w:ind w:firstLine="720"/>
        <w:textAlignment w:val="baseline"/>
        <w:rPr>
          <w:color w:val="000000"/>
        </w:rPr>
      </w:pPr>
      <w:r w:rsidRPr="00C517CD">
        <w:rPr>
          <w:color w:val="000000"/>
        </w:rPr>
        <w:t xml:space="preserve">The 1880 treaty </w:t>
      </w:r>
      <w:r w:rsidR="006274E2">
        <w:rPr>
          <w:color w:val="000000"/>
        </w:rPr>
        <w:t>a</w:t>
      </w:r>
      <w:r w:rsidRPr="00C517CD">
        <w:rPr>
          <w:color w:val="000000"/>
        </w:rPr>
        <w:t xml:space="preserve">nnuity payments indicate that 27 Chiefs, 88 headmen and 5,761 Indians that </w:t>
      </w:r>
      <w:r w:rsidR="00DF6361">
        <w:rPr>
          <w:color w:val="000000"/>
        </w:rPr>
        <w:t>were a</w:t>
      </w:r>
      <w:r w:rsidRPr="00C517CD">
        <w:rPr>
          <w:color w:val="000000"/>
        </w:rPr>
        <w:t xml:space="preserve"> part of Treaty 4 were paid a total sum of </w:t>
      </w:r>
      <w:r w:rsidRPr="00C517CD">
        <w:rPr>
          <w:color w:val="111111"/>
          <w:shd w:val="clear" w:color="auto" w:fill="FFFFFF"/>
        </w:rPr>
        <w:t>£</w:t>
      </w:r>
      <w:r w:rsidRPr="00C517CD">
        <w:rPr>
          <w:color w:val="000000"/>
        </w:rPr>
        <w:t>30, 800</w:t>
      </w:r>
      <w:r w:rsidR="00C517CD" w:rsidRPr="00C517CD">
        <w:rPr>
          <w:color w:val="000000"/>
        </w:rPr>
        <w:t>.</w:t>
      </w:r>
      <w:r w:rsidR="00056D95">
        <w:rPr>
          <w:rStyle w:val="FootnoteReference"/>
          <w:color w:val="000000"/>
        </w:rPr>
        <w:footnoteReference w:id="89"/>
      </w:r>
      <w:r w:rsidR="00056D95" w:rsidRPr="00C517CD">
        <w:rPr>
          <w:color w:val="000000"/>
        </w:rPr>
        <w:t xml:space="preserve"> </w:t>
      </w:r>
      <w:r w:rsidRPr="00C517CD">
        <w:rPr>
          <w:color w:val="111111"/>
          <w:shd w:val="clear" w:color="auto" w:fill="FFFFFF"/>
        </w:rPr>
        <w:t>£</w:t>
      </w:r>
      <w:r w:rsidRPr="00C517CD">
        <w:rPr>
          <w:color w:val="000000"/>
        </w:rPr>
        <w:t>6, 500 is paid by the government to the whole of Treaty 4 for agricultural implements, provisions and livestock. However, this report does not indicate the quantities that are given to each of the bands</w:t>
      </w:r>
      <w:r w:rsidR="00D04E9E">
        <w:rPr>
          <w:color w:val="000000"/>
        </w:rPr>
        <w:t xml:space="preserve"> and/or</w:t>
      </w:r>
      <w:r w:rsidRPr="00C517CD">
        <w:rPr>
          <w:color w:val="000000"/>
        </w:rPr>
        <w:t xml:space="preserve"> their farm instructors. </w:t>
      </w:r>
      <w:r w:rsidR="00C517CD" w:rsidRPr="00C517CD">
        <w:rPr>
          <w:color w:val="000000"/>
        </w:rPr>
        <w:t>Unknown quantitates of pemmican</w:t>
      </w:r>
      <w:r w:rsidR="00DF6361">
        <w:rPr>
          <w:color w:val="000000"/>
        </w:rPr>
        <w:t xml:space="preserve"> and potatoes, </w:t>
      </w:r>
      <w:r w:rsidR="00C517CD" w:rsidRPr="00C517CD">
        <w:rPr>
          <w:color w:val="000000"/>
        </w:rPr>
        <w:t xml:space="preserve">along with </w:t>
      </w:r>
      <w:r w:rsidRPr="00C517CD">
        <w:rPr>
          <w:color w:val="000000"/>
        </w:rPr>
        <w:t>150 sacks of flou</w:t>
      </w:r>
      <w:r w:rsidR="00C517CD" w:rsidRPr="00C517CD">
        <w:rPr>
          <w:color w:val="000000"/>
        </w:rPr>
        <w:t>r and</w:t>
      </w:r>
      <w:r w:rsidRPr="00C517CD">
        <w:rPr>
          <w:color w:val="000000"/>
        </w:rPr>
        <w:t xml:space="preserve"> 13</w:t>
      </w:r>
      <w:r w:rsidR="00C517CD" w:rsidRPr="00C517CD">
        <w:rPr>
          <w:color w:val="000000"/>
        </w:rPr>
        <w:t>,</w:t>
      </w:r>
      <w:r w:rsidRPr="00C517CD">
        <w:rPr>
          <w:color w:val="000000"/>
        </w:rPr>
        <w:t xml:space="preserve"> 618 lbs of beef were distributed to the bands in the Qu’Appelle area during their seed time. Although this report includes a breakdown of the provisions provided to each area included in Treaty 4, it does not specify what quantities of the aforementioned provisions </w:t>
      </w:r>
      <w:r w:rsidR="00C517CD" w:rsidRPr="00C517CD">
        <w:rPr>
          <w:color w:val="000000"/>
        </w:rPr>
        <w:t>were</w:t>
      </w:r>
      <w:r w:rsidRPr="00C517CD">
        <w:rPr>
          <w:color w:val="000000"/>
        </w:rPr>
        <w:t xml:space="preserve"> given to each</w:t>
      </w:r>
      <w:r w:rsidR="00C517CD" w:rsidRPr="00C517CD">
        <w:rPr>
          <w:color w:val="000000"/>
        </w:rPr>
        <w:t xml:space="preserve"> of the</w:t>
      </w:r>
      <w:r w:rsidRPr="00C517CD">
        <w:rPr>
          <w:color w:val="000000"/>
        </w:rPr>
        <w:t xml:space="preserve"> band</w:t>
      </w:r>
      <w:r w:rsidR="00C517CD" w:rsidRPr="00C517CD">
        <w:rPr>
          <w:color w:val="000000"/>
        </w:rPr>
        <w:t>s</w:t>
      </w:r>
      <w:r w:rsidRPr="00C517CD">
        <w:rPr>
          <w:color w:val="000000"/>
        </w:rPr>
        <w:t xml:space="preserve"> in the Qu’Appelle area.</w:t>
      </w:r>
      <w:r w:rsidR="00056D95">
        <w:rPr>
          <w:rStyle w:val="FootnoteReference"/>
          <w:color w:val="000000"/>
        </w:rPr>
        <w:footnoteReference w:id="90"/>
      </w:r>
      <w:r w:rsidR="00056D95">
        <w:rPr>
          <w:color w:val="000000"/>
        </w:rPr>
        <w:t xml:space="preserve"> </w:t>
      </w:r>
      <w:r w:rsidRPr="00C517CD">
        <w:rPr>
          <w:color w:val="000000"/>
        </w:rPr>
        <w:t>This lack of clarity makes it challenging to concretely ascertain whether Pasquas band received the appropriate amounts of provisions promised under treaty. </w:t>
      </w:r>
    </w:p>
    <w:p w14:paraId="006B093C" w14:textId="7A111A65" w:rsidR="00B00223" w:rsidRPr="00C517CD" w:rsidRDefault="00B00223" w:rsidP="00B00223">
      <w:pPr>
        <w:pStyle w:val="NormalWeb"/>
        <w:spacing w:before="240" w:beforeAutospacing="0" w:after="0" w:afterAutospacing="0" w:line="480" w:lineRule="auto"/>
        <w:ind w:firstLine="720"/>
        <w:textAlignment w:val="baseline"/>
        <w:rPr>
          <w:color w:val="000000"/>
        </w:rPr>
      </w:pPr>
      <w:r w:rsidRPr="00C517CD">
        <w:rPr>
          <w:color w:val="000000"/>
        </w:rPr>
        <w:t>Highlighted in F.L Hunts report to Edgar Dewdney, in March of 1880, are the harsh weather conditions</w:t>
      </w:r>
      <w:r w:rsidR="00DF6361">
        <w:rPr>
          <w:color w:val="000000"/>
        </w:rPr>
        <w:t xml:space="preserve"> faced by bands in the </w:t>
      </w:r>
      <w:r w:rsidRPr="00C517CD">
        <w:rPr>
          <w:color w:val="000000"/>
        </w:rPr>
        <w:t xml:space="preserve">Qu’Appelle </w:t>
      </w:r>
      <w:r w:rsidR="00DF6361">
        <w:rPr>
          <w:color w:val="000000"/>
        </w:rPr>
        <w:t>area</w:t>
      </w:r>
      <w:r w:rsidRPr="00C517CD">
        <w:rPr>
          <w:color w:val="000000"/>
        </w:rPr>
        <w:t xml:space="preserve">, as well as the overall scarcity of wild game that was available to them. These factors contributed to </w:t>
      </w:r>
      <w:r w:rsidR="00D04E9E">
        <w:rPr>
          <w:color w:val="000000"/>
        </w:rPr>
        <w:t>bands</w:t>
      </w:r>
      <w:r w:rsidRPr="00C517CD">
        <w:rPr>
          <w:color w:val="000000"/>
        </w:rPr>
        <w:t xml:space="preserve"> dire need for government assistance, which in turn, as reported by Hunt, led to the unanticipated depletion of government supplies. Hunt acknowledged that the dire state which these bands were in, along with the lack of government support supplied to them, may</w:t>
      </w:r>
      <w:r w:rsidR="00D04E9E">
        <w:rPr>
          <w:color w:val="000000"/>
        </w:rPr>
        <w:t xml:space="preserve"> l</w:t>
      </w:r>
      <w:r w:rsidRPr="00C517CD">
        <w:rPr>
          <w:color w:val="000000"/>
        </w:rPr>
        <w:t>e</w:t>
      </w:r>
      <w:r w:rsidR="00D04E9E">
        <w:rPr>
          <w:color w:val="000000"/>
        </w:rPr>
        <w:t>a</w:t>
      </w:r>
      <w:r w:rsidR="00DF6361">
        <w:rPr>
          <w:color w:val="000000"/>
        </w:rPr>
        <w:t>d</w:t>
      </w:r>
      <w:r w:rsidRPr="00C517CD">
        <w:rPr>
          <w:color w:val="000000"/>
        </w:rPr>
        <w:t xml:space="preserve"> to frustration. Due to the predicted </w:t>
      </w:r>
      <w:r w:rsidRPr="00C517CD">
        <w:rPr>
          <w:color w:val="000000"/>
        </w:rPr>
        <w:lastRenderedPageBreak/>
        <w:t>dissatisfaction, Hunt called for the immediate stationing of a strong police force to combat any possible uprising.</w:t>
      </w:r>
      <w:r w:rsidR="00056D95">
        <w:rPr>
          <w:rStyle w:val="FootnoteReference"/>
          <w:color w:val="000000"/>
        </w:rPr>
        <w:footnoteReference w:id="91"/>
      </w:r>
    </w:p>
    <w:p w14:paraId="5F816788" w14:textId="68D6C37F" w:rsidR="00B00223" w:rsidRPr="00DF6361" w:rsidRDefault="00B00223" w:rsidP="00B00223">
      <w:pPr>
        <w:pStyle w:val="NormalWeb"/>
        <w:spacing w:before="0" w:beforeAutospacing="0" w:after="0" w:afterAutospacing="0" w:line="480" w:lineRule="auto"/>
        <w:ind w:firstLine="720"/>
        <w:textAlignment w:val="baseline"/>
        <w:rPr>
          <w:color w:val="000000"/>
        </w:rPr>
      </w:pPr>
      <w:r w:rsidRPr="00C517CD">
        <w:rPr>
          <w:color w:val="000000"/>
        </w:rPr>
        <w:t xml:space="preserve">Blame </w:t>
      </w:r>
      <w:r w:rsidR="00C517CD" w:rsidRPr="00C517CD">
        <w:rPr>
          <w:color w:val="000000"/>
        </w:rPr>
        <w:t>was still continuously cast onto bands</w:t>
      </w:r>
      <w:r w:rsidRPr="00C517CD">
        <w:rPr>
          <w:color w:val="000000"/>
        </w:rPr>
        <w:t xml:space="preserve">, as Hunt labeled them as idle and continued the paternalistic attitude favoured by the </w:t>
      </w:r>
      <w:r w:rsidR="00056D95">
        <w:rPr>
          <w:color w:val="000000"/>
        </w:rPr>
        <w:t>government</w:t>
      </w:r>
      <w:r w:rsidRPr="00C517CD">
        <w:rPr>
          <w:color w:val="000000"/>
        </w:rPr>
        <w:t xml:space="preserve">, stating </w:t>
      </w:r>
      <w:r w:rsidR="00D04E9E">
        <w:rPr>
          <w:color w:val="000000"/>
        </w:rPr>
        <w:t xml:space="preserve">that </w:t>
      </w:r>
      <w:r w:rsidR="00DF6361">
        <w:rPr>
          <w:color w:val="000000"/>
        </w:rPr>
        <w:t>bands</w:t>
      </w:r>
      <w:r w:rsidRPr="00C517CD">
        <w:rPr>
          <w:color w:val="000000"/>
        </w:rPr>
        <w:t xml:space="preserve"> “must learn to respect and obey the protecting hand.” Hunt </w:t>
      </w:r>
      <w:r w:rsidR="00D04E9E">
        <w:rPr>
          <w:color w:val="000000"/>
        </w:rPr>
        <w:t>suggested</w:t>
      </w:r>
      <w:r w:rsidRPr="00C517CD">
        <w:rPr>
          <w:color w:val="000000"/>
        </w:rPr>
        <w:t xml:space="preserve"> that by sending away individuals that the government viewed as struggling - those who were seen as a drain on their ideal society and created </w:t>
      </w:r>
      <w:r w:rsidR="00DF6361">
        <w:rPr>
          <w:color w:val="000000"/>
        </w:rPr>
        <w:t>‘</w:t>
      </w:r>
      <w:r w:rsidRPr="00C517CD">
        <w:rPr>
          <w:color w:val="000000"/>
        </w:rPr>
        <w:t>communities</w:t>
      </w:r>
      <w:r w:rsidR="00DF6361">
        <w:rPr>
          <w:color w:val="000000"/>
        </w:rPr>
        <w:t>’</w:t>
      </w:r>
      <w:r w:rsidRPr="00C517CD">
        <w:rPr>
          <w:color w:val="000000"/>
        </w:rPr>
        <w:t xml:space="preserve"> - would be beneficial to the civilization of capable </w:t>
      </w:r>
      <w:r w:rsidR="00C517CD" w:rsidRPr="00C517CD">
        <w:rPr>
          <w:color w:val="000000"/>
        </w:rPr>
        <w:t xml:space="preserve">band </w:t>
      </w:r>
      <w:r w:rsidRPr="00C517CD">
        <w:rPr>
          <w:color w:val="000000"/>
        </w:rPr>
        <w:t xml:space="preserve">members, leading to their independence. However, this independence would have </w:t>
      </w:r>
      <w:r w:rsidR="00D04E9E">
        <w:rPr>
          <w:color w:val="000000"/>
        </w:rPr>
        <w:t xml:space="preserve">only </w:t>
      </w:r>
      <w:r w:rsidRPr="00C517CD">
        <w:rPr>
          <w:color w:val="000000"/>
        </w:rPr>
        <w:t xml:space="preserve">stemmed from necessity, </w:t>
      </w:r>
      <w:r w:rsidR="00D04E9E">
        <w:rPr>
          <w:color w:val="000000"/>
        </w:rPr>
        <w:t>as it would have provided the</w:t>
      </w:r>
      <w:r w:rsidRPr="00C517CD">
        <w:rPr>
          <w:color w:val="000000"/>
        </w:rPr>
        <w:t xml:space="preserve"> government </w:t>
      </w:r>
      <w:r w:rsidR="00D04E9E">
        <w:rPr>
          <w:color w:val="000000"/>
        </w:rPr>
        <w:t>with a way to</w:t>
      </w:r>
      <w:r w:rsidRPr="00C517CD">
        <w:rPr>
          <w:color w:val="000000"/>
        </w:rPr>
        <w:t xml:space="preserve"> rationalize the minimal provision of aid, and thus, less government spending would</w:t>
      </w:r>
      <w:r w:rsidR="00D04E9E">
        <w:rPr>
          <w:color w:val="000000"/>
        </w:rPr>
        <w:t xml:space="preserve"> have</w:t>
      </w:r>
      <w:r w:rsidRPr="00C517CD">
        <w:rPr>
          <w:color w:val="000000"/>
        </w:rPr>
        <w:t xml:space="preserve"> be</w:t>
      </w:r>
      <w:r w:rsidR="00D04E9E">
        <w:rPr>
          <w:color w:val="000000"/>
        </w:rPr>
        <w:t>en</w:t>
      </w:r>
      <w:r w:rsidRPr="00C517CD">
        <w:rPr>
          <w:color w:val="000000"/>
        </w:rPr>
        <w:t xml:space="preserve"> needed. Blame would</w:t>
      </w:r>
      <w:r w:rsidR="00C517CD" w:rsidRPr="00C517CD">
        <w:rPr>
          <w:color w:val="000000"/>
        </w:rPr>
        <w:t xml:space="preserve"> have</w:t>
      </w:r>
      <w:r w:rsidRPr="00C517CD">
        <w:rPr>
          <w:color w:val="000000"/>
        </w:rPr>
        <w:t xml:space="preserve"> be</w:t>
      </w:r>
      <w:r w:rsidR="00C517CD" w:rsidRPr="00C517CD">
        <w:rPr>
          <w:color w:val="000000"/>
        </w:rPr>
        <w:t>en</w:t>
      </w:r>
      <w:r w:rsidRPr="00C517CD">
        <w:rPr>
          <w:color w:val="000000"/>
        </w:rPr>
        <w:t xml:space="preserve"> placed on the ‘strong who </w:t>
      </w:r>
      <w:r w:rsidRPr="00DF6361">
        <w:rPr>
          <w:color w:val="000000"/>
        </w:rPr>
        <w:t>remain</w:t>
      </w:r>
      <w:r w:rsidR="00C517CD" w:rsidRPr="00DF6361">
        <w:rPr>
          <w:color w:val="000000"/>
        </w:rPr>
        <w:t>ed</w:t>
      </w:r>
      <w:r w:rsidRPr="00DF6361">
        <w:rPr>
          <w:color w:val="000000"/>
        </w:rPr>
        <w:t>’ if their farms continued to fail.</w:t>
      </w:r>
      <w:r w:rsidR="00056D95">
        <w:rPr>
          <w:rStyle w:val="FootnoteReference"/>
          <w:color w:val="000000"/>
        </w:rPr>
        <w:footnoteReference w:id="92"/>
      </w:r>
      <w:r w:rsidRPr="00DF6361">
        <w:rPr>
          <w:color w:val="000000"/>
        </w:rPr>
        <w:t>  </w:t>
      </w:r>
    </w:p>
    <w:p w14:paraId="1C4CE213" w14:textId="7FAADCDD" w:rsidR="00C517CD" w:rsidRPr="009F0242" w:rsidRDefault="008E179C" w:rsidP="00DF6361">
      <w:pPr>
        <w:spacing w:line="480" w:lineRule="auto"/>
        <w:textAlignment w:val="baseline"/>
        <w:rPr>
          <w:color w:val="000000"/>
        </w:rPr>
      </w:pPr>
      <w:r w:rsidRPr="00DF6361">
        <w:rPr>
          <w:b/>
        </w:rPr>
        <w:t>2) 1881-82.</w:t>
      </w:r>
      <w:r w:rsidR="00B00223" w:rsidRPr="00DF6361">
        <w:rPr>
          <w:b/>
        </w:rPr>
        <w:t xml:space="preserve">  </w:t>
      </w:r>
      <w:r w:rsidR="006274E2" w:rsidRPr="00DF6361">
        <w:rPr>
          <w:color w:val="000000"/>
        </w:rPr>
        <w:t>Macdonald’s</w:t>
      </w:r>
      <w:r w:rsidR="00B00223" w:rsidRPr="00DF6361">
        <w:rPr>
          <w:color w:val="000000"/>
        </w:rPr>
        <w:t xml:space="preserve"> report dated 26th January 1881, begins by stating that the chiefs </w:t>
      </w:r>
      <w:r w:rsidR="00C517CD" w:rsidRPr="00DF6361">
        <w:rPr>
          <w:color w:val="000000"/>
        </w:rPr>
        <w:t>were “</w:t>
      </w:r>
      <w:r w:rsidR="00B00223" w:rsidRPr="00DF6361">
        <w:rPr>
          <w:color w:val="000000"/>
        </w:rPr>
        <w:t xml:space="preserve">determined to do what they </w:t>
      </w:r>
      <w:r w:rsidR="00C517CD" w:rsidRPr="00DF6361">
        <w:rPr>
          <w:color w:val="000000"/>
        </w:rPr>
        <w:t>[could]</w:t>
      </w:r>
      <w:r w:rsidR="00B00223" w:rsidRPr="00DF6361">
        <w:rPr>
          <w:color w:val="000000"/>
        </w:rPr>
        <w:t xml:space="preserve">.” However, this is followed by comments regarding their uncivilized ways of living. </w:t>
      </w:r>
      <w:r w:rsidR="00B00223" w:rsidRPr="00B00223">
        <w:rPr>
          <w:color w:val="000000"/>
        </w:rPr>
        <w:t xml:space="preserve">The government did not wish to assist those that they viewed as capable or as having been given ‘enough’ assistance. This attitude can be seen in </w:t>
      </w:r>
      <w:r w:rsidR="006274E2" w:rsidRPr="00B00223">
        <w:rPr>
          <w:color w:val="000000"/>
        </w:rPr>
        <w:t>Macdonald’s</w:t>
      </w:r>
      <w:r w:rsidR="00B00223" w:rsidRPr="00B00223">
        <w:rPr>
          <w:color w:val="000000"/>
        </w:rPr>
        <w:t xml:space="preserve"> statement </w:t>
      </w:r>
      <w:r w:rsidR="00C517CD" w:rsidRPr="00DF6361">
        <w:rPr>
          <w:color w:val="000000"/>
        </w:rPr>
        <w:t>that “</w:t>
      </w:r>
      <w:r w:rsidR="00B00223" w:rsidRPr="00B00223">
        <w:rPr>
          <w:color w:val="000000"/>
        </w:rPr>
        <w:t>those who had blankets and clothing must expect nothing,</w:t>
      </w:r>
      <w:r w:rsidR="00C517CD" w:rsidRPr="00DF6361">
        <w:rPr>
          <w:color w:val="000000"/>
        </w:rPr>
        <w:t>”</w:t>
      </w:r>
      <w:r w:rsidR="00B00223" w:rsidRPr="00B00223">
        <w:rPr>
          <w:color w:val="000000"/>
        </w:rPr>
        <w:t xml:space="preserve"> </w:t>
      </w:r>
      <w:r w:rsidR="00C517CD" w:rsidRPr="00DF6361">
        <w:rPr>
          <w:color w:val="000000"/>
        </w:rPr>
        <w:t xml:space="preserve">only </w:t>
      </w:r>
      <w:r w:rsidR="00B00223" w:rsidRPr="00B00223">
        <w:rPr>
          <w:color w:val="000000"/>
        </w:rPr>
        <w:t xml:space="preserve">offering to supply band members who were </w:t>
      </w:r>
      <w:r w:rsidR="00C517CD" w:rsidRPr="00DF6361">
        <w:rPr>
          <w:color w:val="000000"/>
        </w:rPr>
        <w:t>“c</w:t>
      </w:r>
      <w:r w:rsidR="00B00223" w:rsidRPr="00B00223">
        <w:rPr>
          <w:color w:val="000000"/>
        </w:rPr>
        <w:t>onsidered [to] require something.</w:t>
      </w:r>
      <w:r w:rsidR="00C517CD" w:rsidRPr="00DF6361">
        <w:rPr>
          <w:color w:val="000000"/>
        </w:rPr>
        <w:t>”</w:t>
      </w:r>
      <w:r w:rsidR="00056D95">
        <w:rPr>
          <w:rStyle w:val="FootnoteReference"/>
          <w:color w:val="000000"/>
        </w:rPr>
        <w:footnoteReference w:id="93"/>
      </w:r>
      <w:r w:rsidR="00C517CD" w:rsidRPr="00DF6361">
        <w:rPr>
          <w:color w:val="000000"/>
        </w:rPr>
        <w:t xml:space="preserve"> </w:t>
      </w:r>
      <w:r w:rsidR="009F0242" w:rsidRPr="00DF6361">
        <w:rPr>
          <w:color w:val="000000"/>
        </w:rPr>
        <w:t xml:space="preserve">In </w:t>
      </w:r>
      <w:r w:rsidR="006274E2" w:rsidRPr="00DF6361">
        <w:rPr>
          <w:color w:val="000000"/>
        </w:rPr>
        <w:t>Dewdney’s</w:t>
      </w:r>
      <w:r w:rsidR="009F0242" w:rsidRPr="00DF6361">
        <w:rPr>
          <w:color w:val="000000"/>
        </w:rPr>
        <w:t xml:space="preserve"> 1881 report it is noted that there were</w:t>
      </w:r>
      <w:r w:rsidR="009F0242" w:rsidRPr="00B00223">
        <w:rPr>
          <w:color w:val="000000"/>
        </w:rPr>
        <w:t xml:space="preserve"> families on </w:t>
      </w:r>
      <w:r w:rsidR="009F0242" w:rsidRPr="00DF6361">
        <w:rPr>
          <w:color w:val="000000"/>
        </w:rPr>
        <w:t xml:space="preserve">the </w:t>
      </w:r>
      <w:r w:rsidR="009F0242" w:rsidRPr="00B00223">
        <w:rPr>
          <w:color w:val="000000"/>
        </w:rPr>
        <w:t xml:space="preserve">reserves that </w:t>
      </w:r>
      <w:r w:rsidR="009F0242" w:rsidRPr="00DF6361">
        <w:rPr>
          <w:color w:val="000000"/>
        </w:rPr>
        <w:t>were</w:t>
      </w:r>
      <w:r w:rsidR="009F0242" w:rsidRPr="00B00223">
        <w:rPr>
          <w:color w:val="000000"/>
        </w:rPr>
        <w:t xml:space="preserve"> comfortable with and ha</w:t>
      </w:r>
      <w:r w:rsidR="009F0242" w:rsidRPr="00DF6361">
        <w:rPr>
          <w:color w:val="000000"/>
        </w:rPr>
        <w:t>d</w:t>
      </w:r>
      <w:r w:rsidR="009F0242" w:rsidRPr="00B00223">
        <w:rPr>
          <w:color w:val="000000"/>
        </w:rPr>
        <w:t xml:space="preserve"> taken to farming. This comment, although positive, does not acknowledge the fact that many of these peoples were successful agriculturally before</w:t>
      </w:r>
      <w:r w:rsidR="009F0242" w:rsidRPr="00DF6361">
        <w:rPr>
          <w:color w:val="000000"/>
        </w:rPr>
        <w:t xml:space="preserve"> colonial control</w:t>
      </w:r>
      <w:r w:rsidR="009F0242" w:rsidRPr="00B00223">
        <w:rPr>
          <w:color w:val="000000"/>
        </w:rPr>
        <w:t xml:space="preserve">. </w:t>
      </w:r>
      <w:r w:rsidR="009F0242" w:rsidRPr="00DF6361">
        <w:rPr>
          <w:color w:val="000000"/>
        </w:rPr>
        <w:t>A</w:t>
      </w:r>
      <w:r w:rsidR="009F0242" w:rsidRPr="00B00223">
        <w:rPr>
          <w:color w:val="000000"/>
        </w:rPr>
        <w:t xml:space="preserve">ctual growth and progress </w:t>
      </w:r>
      <w:r w:rsidR="009F0242" w:rsidRPr="00B00223">
        <w:rPr>
          <w:color w:val="000000"/>
        </w:rPr>
        <w:lastRenderedPageBreak/>
        <w:t>of farms, as stated by Dewdney, positively altered the overall view held by band members, as they began to view their reserves as dependable.</w:t>
      </w:r>
      <w:r w:rsidR="009F0242">
        <w:rPr>
          <w:color w:val="000000"/>
        </w:rPr>
        <w:t xml:space="preserve"> Although the government wanted bands </w:t>
      </w:r>
      <w:r w:rsidR="009F0242" w:rsidRPr="00B00223">
        <w:rPr>
          <w:color w:val="000000"/>
        </w:rPr>
        <w:t xml:space="preserve">to live on reserve land, </w:t>
      </w:r>
      <w:r w:rsidR="009F0242">
        <w:rPr>
          <w:color w:val="000000"/>
        </w:rPr>
        <w:t>they often</w:t>
      </w:r>
      <w:r w:rsidR="009F0242" w:rsidRPr="00B00223">
        <w:rPr>
          <w:color w:val="000000"/>
        </w:rPr>
        <w:t xml:space="preserve"> criticiz</w:t>
      </w:r>
      <w:r w:rsidR="009F0242">
        <w:rPr>
          <w:color w:val="000000"/>
        </w:rPr>
        <w:t>ed</w:t>
      </w:r>
      <w:r w:rsidR="009F0242" w:rsidRPr="00B00223">
        <w:rPr>
          <w:color w:val="000000"/>
        </w:rPr>
        <w:t xml:space="preserve"> the manner </w:t>
      </w:r>
      <w:r w:rsidR="009F0242">
        <w:rPr>
          <w:color w:val="000000"/>
        </w:rPr>
        <w:t>that the Indigenous peoples approached this</w:t>
      </w:r>
      <w:r w:rsidR="009F0242" w:rsidRPr="00B00223">
        <w:rPr>
          <w:color w:val="000000"/>
        </w:rPr>
        <w:t xml:space="preserve">, as </w:t>
      </w:r>
      <w:r w:rsidR="009F0242">
        <w:rPr>
          <w:color w:val="000000"/>
        </w:rPr>
        <w:t>methods and practices used by bands often incorporated</w:t>
      </w:r>
      <w:r w:rsidR="009F0242" w:rsidRPr="00B00223">
        <w:rPr>
          <w:color w:val="000000"/>
        </w:rPr>
        <w:t xml:space="preserve"> their old/traditional ways of living.</w:t>
      </w:r>
      <w:r w:rsidR="009F0242">
        <w:rPr>
          <w:color w:val="000000"/>
        </w:rPr>
        <w:t xml:space="preserve"> </w:t>
      </w:r>
      <w:r w:rsidR="009F0242" w:rsidRPr="00B00223">
        <w:rPr>
          <w:color w:val="000000"/>
        </w:rPr>
        <w:t>Dewdney state</w:t>
      </w:r>
      <w:r w:rsidR="009F0242">
        <w:rPr>
          <w:color w:val="000000"/>
        </w:rPr>
        <w:t>d</w:t>
      </w:r>
      <w:r w:rsidR="009F0242" w:rsidRPr="00B00223">
        <w:rPr>
          <w:color w:val="000000"/>
        </w:rPr>
        <w:t xml:space="preserve"> that in order to deal with bands in effective ways the</w:t>
      </w:r>
      <w:r w:rsidR="009F0242">
        <w:rPr>
          <w:color w:val="000000"/>
        </w:rPr>
        <w:t xml:space="preserve"> government </w:t>
      </w:r>
      <w:r w:rsidR="009F0242" w:rsidRPr="00B00223">
        <w:rPr>
          <w:color w:val="000000"/>
        </w:rPr>
        <w:t>must humor them</w:t>
      </w:r>
      <w:r w:rsidR="009F0242">
        <w:rPr>
          <w:color w:val="000000"/>
        </w:rPr>
        <w:t>,</w:t>
      </w:r>
      <w:r w:rsidR="009F0242" w:rsidRPr="00B00223">
        <w:rPr>
          <w:color w:val="000000"/>
        </w:rPr>
        <w:t xml:space="preserve"> as </w:t>
      </w:r>
      <w:r w:rsidR="009F0242">
        <w:rPr>
          <w:color w:val="000000"/>
        </w:rPr>
        <w:t xml:space="preserve">it </w:t>
      </w:r>
      <w:r w:rsidR="009F0242" w:rsidRPr="00B00223">
        <w:rPr>
          <w:color w:val="000000"/>
        </w:rPr>
        <w:t>w</w:t>
      </w:r>
      <w:r w:rsidR="009F0242">
        <w:rPr>
          <w:color w:val="000000"/>
        </w:rPr>
        <w:t>ould</w:t>
      </w:r>
      <w:r w:rsidR="009F0242" w:rsidRPr="00B00223">
        <w:rPr>
          <w:color w:val="000000"/>
        </w:rPr>
        <w:t xml:space="preserve"> lead to</w:t>
      </w:r>
      <w:r w:rsidR="009F0242">
        <w:rPr>
          <w:color w:val="000000"/>
        </w:rPr>
        <w:t xml:space="preserve"> their</w:t>
      </w:r>
      <w:r w:rsidR="009F0242" w:rsidRPr="00B00223">
        <w:rPr>
          <w:color w:val="000000"/>
        </w:rPr>
        <w:t xml:space="preserve"> full submission</w:t>
      </w:r>
      <w:r w:rsidR="009F0242">
        <w:rPr>
          <w:color w:val="000000"/>
        </w:rPr>
        <w:t>, and therefore</w:t>
      </w:r>
      <w:r w:rsidR="009F0242" w:rsidRPr="00B00223">
        <w:rPr>
          <w:color w:val="000000"/>
        </w:rPr>
        <w:t xml:space="preserve"> assist in their assimilation.</w:t>
      </w:r>
      <w:r w:rsidR="00056D95">
        <w:rPr>
          <w:rStyle w:val="FootnoteReference"/>
          <w:color w:val="000000"/>
        </w:rPr>
        <w:footnoteReference w:id="94"/>
      </w:r>
      <w:r w:rsidR="009F0242" w:rsidRPr="00B00223">
        <w:rPr>
          <w:color w:val="000000"/>
        </w:rPr>
        <w:t xml:space="preserve"> </w:t>
      </w:r>
    </w:p>
    <w:p w14:paraId="204A0A37" w14:textId="6CE56BBF" w:rsidR="00C517CD" w:rsidRPr="00C517CD" w:rsidRDefault="00C517CD" w:rsidP="00042F46">
      <w:pPr>
        <w:spacing w:after="240" w:line="480" w:lineRule="auto"/>
        <w:ind w:firstLine="720"/>
        <w:textAlignment w:val="baseline"/>
        <w:rPr>
          <w:color w:val="000000"/>
        </w:rPr>
      </w:pPr>
      <w:r w:rsidRPr="00B00223">
        <w:rPr>
          <w:color w:val="000000"/>
        </w:rPr>
        <w:t xml:space="preserve">The perpetuation of </w:t>
      </w:r>
      <w:r w:rsidRPr="00C517CD">
        <w:rPr>
          <w:color w:val="000000"/>
        </w:rPr>
        <w:t xml:space="preserve">a </w:t>
      </w:r>
      <w:r w:rsidRPr="00B00223">
        <w:rPr>
          <w:color w:val="000000"/>
        </w:rPr>
        <w:t xml:space="preserve">saviour complex continues throughout many government reports, while still casting blame onto the bands due to their inability to succeed. This view is highlighted throughout </w:t>
      </w:r>
      <w:r w:rsidR="00D04E9E">
        <w:rPr>
          <w:color w:val="000000"/>
        </w:rPr>
        <w:t xml:space="preserve">Superintendent General of the Department of Indian Affairs John A. </w:t>
      </w:r>
      <w:r w:rsidRPr="00B00223">
        <w:rPr>
          <w:color w:val="000000"/>
        </w:rPr>
        <w:t>Mac</w:t>
      </w:r>
      <w:r w:rsidR="00D04E9E">
        <w:rPr>
          <w:color w:val="000000"/>
        </w:rPr>
        <w:t>d</w:t>
      </w:r>
      <w:r w:rsidRPr="00B00223">
        <w:rPr>
          <w:color w:val="000000"/>
        </w:rPr>
        <w:t xml:space="preserve">onald’s </w:t>
      </w:r>
      <w:r w:rsidR="00D04E9E">
        <w:rPr>
          <w:color w:val="000000"/>
        </w:rPr>
        <w:t xml:space="preserve">1881 annual </w:t>
      </w:r>
      <w:r w:rsidRPr="00B00223">
        <w:rPr>
          <w:color w:val="000000"/>
        </w:rPr>
        <w:t>report</w:t>
      </w:r>
      <w:r w:rsidR="00D04E9E">
        <w:rPr>
          <w:color w:val="000000"/>
        </w:rPr>
        <w:t>.</w:t>
      </w:r>
      <w:r w:rsidRPr="00B00223">
        <w:rPr>
          <w:color w:val="000000"/>
        </w:rPr>
        <w:t xml:space="preserve"> In discussing the role of farm instructors, Macdonald state</w:t>
      </w:r>
      <w:r>
        <w:rPr>
          <w:color w:val="000000"/>
        </w:rPr>
        <w:t>d</w:t>
      </w:r>
      <w:r w:rsidRPr="00B00223">
        <w:rPr>
          <w:color w:val="000000"/>
        </w:rPr>
        <w:t xml:space="preserve"> that </w:t>
      </w:r>
      <w:r w:rsidRPr="00C517CD">
        <w:rPr>
          <w:color w:val="000000"/>
        </w:rPr>
        <w:t xml:space="preserve">the practice of </w:t>
      </w:r>
      <w:r w:rsidRPr="00B00223">
        <w:rPr>
          <w:color w:val="000000"/>
        </w:rPr>
        <w:t xml:space="preserve">having </w:t>
      </w:r>
      <w:r>
        <w:rPr>
          <w:color w:val="000000"/>
        </w:rPr>
        <w:t>only</w:t>
      </w:r>
      <w:r w:rsidRPr="00B00223">
        <w:rPr>
          <w:color w:val="000000"/>
        </w:rPr>
        <w:t xml:space="preserve"> farm </w:t>
      </w:r>
      <w:proofErr w:type="gramStart"/>
      <w:r w:rsidRPr="00B00223">
        <w:rPr>
          <w:color w:val="000000"/>
        </w:rPr>
        <w:t>instructors</w:t>
      </w:r>
      <w:proofErr w:type="gramEnd"/>
      <w:r w:rsidRPr="00B00223">
        <w:rPr>
          <w:color w:val="000000"/>
        </w:rPr>
        <w:t xml:space="preserve"> complete improvements </w:t>
      </w:r>
      <w:r w:rsidRPr="00C517CD">
        <w:rPr>
          <w:color w:val="000000"/>
        </w:rPr>
        <w:t>was</w:t>
      </w:r>
      <w:r w:rsidRPr="00B00223">
        <w:rPr>
          <w:color w:val="000000"/>
        </w:rPr>
        <w:t xml:space="preserve"> a bad system. Rather, he suggest</w:t>
      </w:r>
      <w:r w:rsidRPr="00C517CD">
        <w:rPr>
          <w:color w:val="000000"/>
        </w:rPr>
        <w:t>ed</w:t>
      </w:r>
      <w:r w:rsidRPr="00B00223">
        <w:rPr>
          <w:color w:val="000000"/>
        </w:rPr>
        <w:t xml:space="preserve"> that their role should be</w:t>
      </w:r>
      <w:r w:rsidRPr="00C517CD">
        <w:rPr>
          <w:color w:val="000000"/>
        </w:rPr>
        <w:t xml:space="preserve"> only</w:t>
      </w:r>
      <w:r w:rsidRPr="00B00223">
        <w:rPr>
          <w:color w:val="000000"/>
        </w:rPr>
        <w:t xml:space="preserve"> to “show the Indians how to work, and to see that they do it.” Through his view, this practice would ensure that assistance would not be given to a degree that would promote idleness among band members, nor reward “those able but unwilling to work.”</w:t>
      </w:r>
      <w:r w:rsidRPr="00C517CD">
        <w:rPr>
          <w:color w:val="000000"/>
        </w:rPr>
        <w:t xml:space="preserve"> </w:t>
      </w:r>
      <w:r w:rsidRPr="00B00223">
        <w:rPr>
          <w:color w:val="000000"/>
        </w:rPr>
        <w:t>One of the many failures of the home farm policy was the insufficient staffing of farm instructors.</w:t>
      </w:r>
      <w:r w:rsidR="00056D95">
        <w:rPr>
          <w:rStyle w:val="FootnoteReference"/>
          <w:color w:val="000000"/>
        </w:rPr>
        <w:footnoteReference w:id="95"/>
      </w:r>
      <w:r w:rsidR="00056D95">
        <w:rPr>
          <w:color w:val="000000"/>
        </w:rPr>
        <w:t xml:space="preserve"> </w:t>
      </w:r>
      <w:r w:rsidRPr="00C517CD">
        <w:rPr>
          <w:color w:val="000000"/>
        </w:rPr>
        <w:t>Only one farm instructor was employed to assist the 3 bands included in the Qu’Appelle area</w:t>
      </w:r>
      <w:r w:rsidR="00D04E9E">
        <w:rPr>
          <w:color w:val="000000"/>
        </w:rPr>
        <w:t xml:space="preserve">. </w:t>
      </w:r>
      <w:r w:rsidRPr="00C517CD">
        <w:rPr>
          <w:color w:val="000000"/>
        </w:rPr>
        <w:t xml:space="preserve">F.L Hunt </w:t>
      </w:r>
      <w:r w:rsidR="00D04E9E">
        <w:rPr>
          <w:color w:val="000000"/>
        </w:rPr>
        <w:t xml:space="preserve">was the initial farm instructor in Qu’Appelle but </w:t>
      </w:r>
      <w:r w:rsidRPr="00C517CD">
        <w:rPr>
          <w:color w:val="000000"/>
        </w:rPr>
        <w:t>was succeeded by G. Newlove in 1881.</w:t>
      </w:r>
      <w:r w:rsidR="00BA6375">
        <w:rPr>
          <w:rStyle w:val="FootnoteReference"/>
          <w:color w:val="000000"/>
        </w:rPr>
        <w:footnoteReference w:id="96"/>
      </w:r>
      <w:r w:rsidRPr="00C517CD">
        <w:rPr>
          <w:color w:val="000000"/>
        </w:rPr>
        <w:t xml:space="preserve"> </w:t>
      </w:r>
      <w:r w:rsidRPr="00B00223">
        <w:rPr>
          <w:color w:val="000000"/>
        </w:rPr>
        <w:t xml:space="preserve">Macdonald </w:t>
      </w:r>
      <w:r w:rsidRPr="00C517CD">
        <w:rPr>
          <w:color w:val="000000"/>
        </w:rPr>
        <w:t>expressed</w:t>
      </w:r>
      <w:r w:rsidRPr="00B00223">
        <w:rPr>
          <w:color w:val="000000"/>
        </w:rPr>
        <w:t xml:space="preserve"> concern in his</w:t>
      </w:r>
      <w:r w:rsidRPr="00C517CD">
        <w:rPr>
          <w:color w:val="000000"/>
        </w:rPr>
        <w:t xml:space="preserve"> 1881</w:t>
      </w:r>
      <w:r w:rsidRPr="00B00223">
        <w:rPr>
          <w:color w:val="000000"/>
        </w:rPr>
        <w:t xml:space="preserve"> report, not for band farmers, but rather for the crops belonging to the farm instructors. He relayed </w:t>
      </w:r>
      <w:r w:rsidR="00D04E9E">
        <w:rPr>
          <w:color w:val="000000"/>
        </w:rPr>
        <w:t>that there were</w:t>
      </w:r>
      <w:r w:rsidRPr="00B00223">
        <w:rPr>
          <w:color w:val="000000"/>
        </w:rPr>
        <w:t xml:space="preserve"> challenges associated with obtaining freight </w:t>
      </w:r>
      <w:r w:rsidRPr="00C517CD">
        <w:rPr>
          <w:color w:val="000000"/>
        </w:rPr>
        <w:t>to</w:t>
      </w:r>
      <w:r w:rsidRPr="00B00223">
        <w:rPr>
          <w:color w:val="000000"/>
        </w:rPr>
        <w:t xml:space="preserve"> assistant Indian farm instructor Robert Johnson's farm, </w:t>
      </w:r>
      <w:r w:rsidRPr="00B00223">
        <w:rPr>
          <w:color w:val="000000"/>
        </w:rPr>
        <w:lastRenderedPageBreak/>
        <w:t xml:space="preserve">questioning how he </w:t>
      </w:r>
      <w:r w:rsidRPr="00C517CD">
        <w:rPr>
          <w:color w:val="000000"/>
        </w:rPr>
        <w:t>could “</w:t>
      </w:r>
      <w:r w:rsidRPr="00B00223">
        <w:rPr>
          <w:color w:val="000000"/>
        </w:rPr>
        <w:t>get along at all.” However, Macdonald does not show the same amount of concern or empathy towards farms run by band members</w:t>
      </w:r>
      <w:r>
        <w:rPr>
          <w:color w:val="000000"/>
        </w:rPr>
        <w:t xml:space="preserve"> although they were facing considerably more challenges</w:t>
      </w:r>
      <w:r w:rsidRPr="00B00223">
        <w:rPr>
          <w:color w:val="000000"/>
        </w:rPr>
        <w:t>, instead</w:t>
      </w:r>
      <w:r>
        <w:rPr>
          <w:color w:val="000000"/>
        </w:rPr>
        <w:t xml:space="preserve"> he</w:t>
      </w:r>
      <w:r w:rsidRPr="00B00223">
        <w:rPr>
          <w:color w:val="000000"/>
        </w:rPr>
        <w:t xml:space="preserve"> </w:t>
      </w:r>
      <w:r w:rsidR="00DF6361">
        <w:rPr>
          <w:color w:val="000000"/>
        </w:rPr>
        <w:t xml:space="preserve">continued to </w:t>
      </w:r>
      <w:r w:rsidRPr="00B00223">
        <w:rPr>
          <w:color w:val="000000"/>
        </w:rPr>
        <w:t>blam</w:t>
      </w:r>
      <w:r w:rsidR="00DF6361">
        <w:rPr>
          <w:color w:val="000000"/>
        </w:rPr>
        <w:t xml:space="preserve">e </w:t>
      </w:r>
      <w:r w:rsidRPr="00B00223">
        <w:rPr>
          <w:color w:val="000000"/>
        </w:rPr>
        <w:t>them for their shortcomings.</w:t>
      </w:r>
      <w:r w:rsidR="00056D95">
        <w:rPr>
          <w:rStyle w:val="FootnoteReference"/>
          <w:color w:val="000000"/>
        </w:rPr>
        <w:footnoteReference w:id="97"/>
      </w:r>
      <w:r w:rsidR="00056D95" w:rsidRPr="00B00223">
        <w:rPr>
          <w:color w:val="000000"/>
        </w:rPr>
        <w:t xml:space="preserve"> </w:t>
      </w:r>
    </w:p>
    <w:p w14:paraId="309B9F12" w14:textId="7816D05C" w:rsidR="00C517CD" w:rsidRDefault="00042F46" w:rsidP="00C517CD">
      <w:pPr>
        <w:spacing w:line="480" w:lineRule="auto"/>
        <w:ind w:firstLine="720"/>
        <w:textAlignment w:val="baseline"/>
        <w:rPr>
          <w:color w:val="000000"/>
        </w:rPr>
      </w:pPr>
      <w:r>
        <w:rPr>
          <w:color w:val="000000"/>
        </w:rPr>
        <w:t>T</w:t>
      </w:r>
      <w:r w:rsidR="00B00223" w:rsidRPr="00B00223">
        <w:rPr>
          <w:color w:val="000000"/>
        </w:rPr>
        <w:t xml:space="preserve">he bands </w:t>
      </w:r>
      <w:r w:rsidR="00DF6361">
        <w:rPr>
          <w:color w:val="000000"/>
        </w:rPr>
        <w:t xml:space="preserve">in the </w:t>
      </w:r>
      <w:r w:rsidR="00B00223" w:rsidRPr="00B00223">
        <w:rPr>
          <w:color w:val="000000"/>
        </w:rPr>
        <w:t xml:space="preserve">Qu’Appelle </w:t>
      </w:r>
      <w:r w:rsidR="00DF6361">
        <w:rPr>
          <w:color w:val="000000"/>
        </w:rPr>
        <w:t xml:space="preserve">area </w:t>
      </w:r>
      <w:r w:rsidR="00B00223" w:rsidRPr="00B00223">
        <w:rPr>
          <w:color w:val="000000"/>
        </w:rPr>
        <w:t>received ¾ lbs of flour and ¼ lbs of bacon per day</w:t>
      </w:r>
      <w:r w:rsidR="00C517CD">
        <w:rPr>
          <w:color w:val="000000"/>
        </w:rPr>
        <w:t>, however, they expressed that this was not enough</w:t>
      </w:r>
      <w:r w:rsidR="00B00223" w:rsidRPr="00B00223">
        <w:rPr>
          <w:color w:val="000000"/>
        </w:rPr>
        <w:t>. Although the specific bands involved</w:t>
      </w:r>
      <w:r w:rsidR="00D04E9E">
        <w:rPr>
          <w:color w:val="000000"/>
        </w:rPr>
        <w:t xml:space="preserve"> </w:t>
      </w:r>
      <w:r w:rsidR="00B00223" w:rsidRPr="00B00223">
        <w:rPr>
          <w:color w:val="000000"/>
        </w:rPr>
        <w:t xml:space="preserve">are not listed, </w:t>
      </w:r>
      <w:r w:rsidR="006274E2">
        <w:rPr>
          <w:color w:val="000000"/>
        </w:rPr>
        <w:t>a few chiefs</w:t>
      </w:r>
      <w:r w:rsidR="00B00223" w:rsidRPr="00B00223">
        <w:rPr>
          <w:color w:val="000000"/>
        </w:rPr>
        <w:t xml:space="preserve"> expressed to Macdonald that they needed an increase in the provisions distributed to them. The government had hoped that in 1881 they would not be required to provide as much assistance as they previously had to the bands, and as such, had intentions of decreasing the amount of provisions that would be given. However, upon </w:t>
      </w:r>
      <w:r w:rsidR="006274E2" w:rsidRPr="00B00223">
        <w:rPr>
          <w:color w:val="000000"/>
        </w:rPr>
        <w:t>Macdonald’s</w:t>
      </w:r>
      <w:r w:rsidR="00B00223" w:rsidRPr="00B00223">
        <w:rPr>
          <w:color w:val="000000"/>
        </w:rPr>
        <w:t xml:space="preserve"> visit to </w:t>
      </w:r>
      <w:r w:rsidR="00DF6361">
        <w:rPr>
          <w:color w:val="000000"/>
        </w:rPr>
        <w:t xml:space="preserve">the </w:t>
      </w:r>
      <w:r w:rsidR="00B00223" w:rsidRPr="00B00223">
        <w:rPr>
          <w:color w:val="000000"/>
        </w:rPr>
        <w:t>Qu’Appelle</w:t>
      </w:r>
      <w:r w:rsidR="00DF6361">
        <w:rPr>
          <w:color w:val="000000"/>
        </w:rPr>
        <w:t xml:space="preserve"> area</w:t>
      </w:r>
      <w:r w:rsidR="00B00223" w:rsidRPr="00B00223">
        <w:rPr>
          <w:color w:val="000000"/>
        </w:rPr>
        <w:t>, he was forced to reassess this</w:t>
      </w:r>
      <w:r w:rsidR="00DF6361">
        <w:rPr>
          <w:color w:val="000000"/>
        </w:rPr>
        <w:t>,</w:t>
      </w:r>
      <w:r w:rsidR="00B00223" w:rsidRPr="00B00223">
        <w:rPr>
          <w:color w:val="000000"/>
        </w:rPr>
        <w:t xml:space="preserve"> due to the dire and “miserable” state</w:t>
      </w:r>
      <w:r w:rsidR="00DF6361">
        <w:rPr>
          <w:color w:val="000000"/>
        </w:rPr>
        <w:t xml:space="preserve"> </w:t>
      </w:r>
      <w:r w:rsidR="00B00223" w:rsidRPr="00B00223">
        <w:rPr>
          <w:color w:val="000000"/>
        </w:rPr>
        <w:t xml:space="preserve">which he found </w:t>
      </w:r>
      <w:r w:rsidR="00D04E9E">
        <w:rPr>
          <w:color w:val="000000"/>
        </w:rPr>
        <w:t>bands</w:t>
      </w:r>
      <w:r w:rsidR="00B00223" w:rsidRPr="00B00223">
        <w:rPr>
          <w:color w:val="000000"/>
        </w:rPr>
        <w:t xml:space="preserve"> in. Macdonald d</w:t>
      </w:r>
      <w:r w:rsidR="00C517CD">
        <w:rPr>
          <w:color w:val="000000"/>
        </w:rPr>
        <w:t>id</w:t>
      </w:r>
      <w:r w:rsidR="00B00223" w:rsidRPr="00B00223">
        <w:rPr>
          <w:color w:val="000000"/>
        </w:rPr>
        <w:t xml:space="preserve"> not agree to an increase in the amount of provisions </w:t>
      </w:r>
      <w:r w:rsidR="00D04E9E">
        <w:rPr>
          <w:color w:val="000000"/>
        </w:rPr>
        <w:t xml:space="preserve">that were </w:t>
      </w:r>
      <w:r w:rsidR="00B00223" w:rsidRPr="00B00223">
        <w:rPr>
          <w:color w:val="000000"/>
        </w:rPr>
        <w:t>given, however, he d</w:t>
      </w:r>
      <w:r w:rsidR="00C517CD">
        <w:rPr>
          <w:color w:val="000000"/>
        </w:rPr>
        <w:t xml:space="preserve">id </w:t>
      </w:r>
      <w:r w:rsidR="00B00223" w:rsidRPr="00B00223">
        <w:rPr>
          <w:color w:val="000000"/>
        </w:rPr>
        <w:t xml:space="preserve">agree to continue the current amount that </w:t>
      </w:r>
      <w:r w:rsidR="00D04E9E">
        <w:rPr>
          <w:color w:val="000000"/>
        </w:rPr>
        <w:t>bands</w:t>
      </w:r>
      <w:r w:rsidR="00B00223" w:rsidRPr="00B00223">
        <w:rPr>
          <w:color w:val="000000"/>
        </w:rPr>
        <w:t xml:space="preserve"> had been receiving, rather than decrease it as planned. </w:t>
      </w:r>
      <w:r w:rsidR="00C517CD">
        <w:rPr>
          <w:color w:val="000000"/>
        </w:rPr>
        <w:t>He</w:t>
      </w:r>
      <w:r w:rsidR="00B00223" w:rsidRPr="00B00223">
        <w:rPr>
          <w:color w:val="000000"/>
        </w:rPr>
        <w:t xml:space="preserve"> also state</w:t>
      </w:r>
      <w:r w:rsidR="00C517CD">
        <w:rPr>
          <w:color w:val="000000"/>
        </w:rPr>
        <w:t>d</w:t>
      </w:r>
      <w:r w:rsidR="00B00223" w:rsidRPr="00B00223">
        <w:rPr>
          <w:color w:val="000000"/>
        </w:rPr>
        <w:t xml:space="preserve"> that once the weather gr</w:t>
      </w:r>
      <w:r w:rsidR="00C517CD">
        <w:rPr>
          <w:color w:val="000000"/>
        </w:rPr>
        <w:t>ew</w:t>
      </w:r>
      <w:r w:rsidR="00B00223" w:rsidRPr="00B00223">
        <w:rPr>
          <w:color w:val="000000"/>
        </w:rPr>
        <w:t xml:space="preserve"> </w:t>
      </w:r>
      <w:r w:rsidR="00DF6361" w:rsidRPr="00B00223">
        <w:rPr>
          <w:color w:val="000000"/>
        </w:rPr>
        <w:t>warmer,</w:t>
      </w:r>
      <w:r w:rsidR="00B00223" w:rsidRPr="00B00223">
        <w:rPr>
          <w:color w:val="000000"/>
        </w:rPr>
        <w:t xml:space="preserve"> they w</w:t>
      </w:r>
      <w:r w:rsidR="00DF6361">
        <w:rPr>
          <w:color w:val="000000"/>
        </w:rPr>
        <w:t>ould</w:t>
      </w:r>
      <w:r w:rsidR="00B00223" w:rsidRPr="00B00223">
        <w:rPr>
          <w:color w:val="000000"/>
        </w:rPr>
        <w:t xml:space="preserve"> be supplied with ammunition so that they </w:t>
      </w:r>
      <w:r w:rsidR="00C517CD">
        <w:rPr>
          <w:color w:val="000000"/>
        </w:rPr>
        <w:t>were</w:t>
      </w:r>
      <w:r w:rsidR="00B00223" w:rsidRPr="00B00223">
        <w:rPr>
          <w:color w:val="000000"/>
        </w:rPr>
        <w:t xml:space="preserve"> able to secure their own food.</w:t>
      </w:r>
      <w:r w:rsidR="00056D95">
        <w:rPr>
          <w:rStyle w:val="FootnoteReference"/>
          <w:color w:val="000000"/>
        </w:rPr>
        <w:footnoteReference w:id="98"/>
      </w:r>
      <w:r w:rsidR="00B00223" w:rsidRPr="00B00223">
        <w:rPr>
          <w:color w:val="000000"/>
        </w:rPr>
        <w:t xml:space="preserve"> This stipulation would </w:t>
      </w:r>
      <w:r w:rsidR="00C517CD">
        <w:rPr>
          <w:color w:val="000000"/>
        </w:rPr>
        <w:t>work to</w:t>
      </w:r>
      <w:r w:rsidR="00B00223" w:rsidRPr="00B00223">
        <w:rPr>
          <w:color w:val="000000"/>
        </w:rPr>
        <w:t xml:space="preserve"> </w:t>
      </w:r>
      <w:r w:rsidR="00C517CD">
        <w:rPr>
          <w:color w:val="000000"/>
        </w:rPr>
        <w:t xml:space="preserve">cut </w:t>
      </w:r>
      <w:r w:rsidR="00B00223" w:rsidRPr="00B00223">
        <w:rPr>
          <w:color w:val="000000"/>
        </w:rPr>
        <w:t xml:space="preserve">down </w:t>
      </w:r>
      <w:r w:rsidR="00C517CD">
        <w:rPr>
          <w:color w:val="000000"/>
        </w:rPr>
        <w:t xml:space="preserve">on </w:t>
      </w:r>
      <w:r w:rsidR="00B00223" w:rsidRPr="00B00223">
        <w:rPr>
          <w:color w:val="000000"/>
        </w:rPr>
        <w:t>government expenditures.  </w:t>
      </w:r>
    </w:p>
    <w:p w14:paraId="52387537" w14:textId="1FAF7E3A" w:rsidR="009F0242" w:rsidRPr="00B00223" w:rsidRDefault="00042F46" w:rsidP="00056D95">
      <w:pPr>
        <w:spacing w:line="480" w:lineRule="auto"/>
        <w:ind w:firstLine="720"/>
        <w:textAlignment w:val="baseline"/>
        <w:rPr>
          <w:color w:val="000000"/>
        </w:rPr>
      </w:pPr>
      <w:r>
        <w:rPr>
          <w:color w:val="000000"/>
        </w:rPr>
        <w:t>In</w:t>
      </w:r>
      <w:r w:rsidR="00C517CD">
        <w:rPr>
          <w:color w:val="000000"/>
        </w:rPr>
        <w:t xml:space="preserve"> </w:t>
      </w:r>
      <w:r w:rsidR="00C517CD" w:rsidRPr="00B00223">
        <w:rPr>
          <w:color w:val="000000"/>
        </w:rPr>
        <w:t>Dewdney</w:t>
      </w:r>
      <w:r w:rsidR="00C517CD">
        <w:rPr>
          <w:color w:val="000000"/>
        </w:rPr>
        <w:t>’s 188</w:t>
      </w:r>
      <w:r w:rsidR="00D04E9E">
        <w:rPr>
          <w:color w:val="000000"/>
        </w:rPr>
        <w:t>2</w:t>
      </w:r>
      <w:r w:rsidR="00C517CD">
        <w:rPr>
          <w:color w:val="000000"/>
        </w:rPr>
        <w:t xml:space="preserve"> report he</w:t>
      </w:r>
      <w:r w:rsidR="00B00223" w:rsidRPr="00B00223">
        <w:rPr>
          <w:color w:val="000000"/>
        </w:rPr>
        <w:t xml:space="preserve"> note</w:t>
      </w:r>
      <w:r w:rsidR="00C517CD">
        <w:rPr>
          <w:color w:val="000000"/>
        </w:rPr>
        <w:t>d</w:t>
      </w:r>
      <w:r w:rsidR="00B00223" w:rsidRPr="00B00223">
        <w:rPr>
          <w:color w:val="000000"/>
        </w:rPr>
        <w:t xml:space="preserve"> that progress ha</w:t>
      </w:r>
      <w:r w:rsidR="00C517CD">
        <w:rPr>
          <w:color w:val="000000"/>
        </w:rPr>
        <w:t>d</w:t>
      </w:r>
      <w:r w:rsidR="00B00223" w:rsidRPr="00B00223">
        <w:rPr>
          <w:color w:val="000000"/>
        </w:rPr>
        <w:t xml:space="preserve"> been made on many reserves</w:t>
      </w:r>
      <w:r w:rsidR="00C517CD">
        <w:rPr>
          <w:color w:val="000000"/>
        </w:rPr>
        <w:t>. He attributed this progress to</w:t>
      </w:r>
      <w:r>
        <w:rPr>
          <w:color w:val="000000"/>
        </w:rPr>
        <w:t xml:space="preserve"> a shift</w:t>
      </w:r>
      <w:r w:rsidR="00DF6361">
        <w:rPr>
          <w:color w:val="000000"/>
        </w:rPr>
        <w:t xml:space="preserve"> in</w:t>
      </w:r>
      <w:r>
        <w:rPr>
          <w:color w:val="000000"/>
        </w:rPr>
        <w:t xml:space="preserve"> the mindsets of chiefs, relaying that chiefs </w:t>
      </w:r>
      <w:r w:rsidR="00B00223" w:rsidRPr="00B00223">
        <w:rPr>
          <w:color w:val="000000"/>
        </w:rPr>
        <w:t>unders</w:t>
      </w:r>
      <w:r>
        <w:rPr>
          <w:color w:val="000000"/>
        </w:rPr>
        <w:t>tood that</w:t>
      </w:r>
      <w:r w:rsidR="00C517CD">
        <w:rPr>
          <w:color w:val="000000"/>
        </w:rPr>
        <w:t xml:space="preserve"> </w:t>
      </w:r>
      <w:r w:rsidR="00B00223" w:rsidRPr="00B00223">
        <w:rPr>
          <w:color w:val="000000"/>
        </w:rPr>
        <w:t xml:space="preserve">their previous ways of living </w:t>
      </w:r>
      <w:r w:rsidR="00C517CD">
        <w:rPr>
          <w:color w:val="000000"/>
        </w:rPr>
        <w:t xml:space="preserve">were </w:t>
      </w:r>
      <w:r w:rsidR="00B00223" w:rsidRPr="00B00223">
        <w:rPr>
          <w:color w:val="000000"/>
        </w:rPr>
        <w:t>threatened</w:t>
      </w:r>
      <w:r w:rsidR="00C517CD">
        <w:rPr>
          <w:color w:val="000000"/>
        </w:rPr>
        <w:t xml:space="preserve">, and therefore, </w:t>
      </w:r>
      <w:r w:rsidR="00B00223" w:rsidRPr="00B00223">
        <w:rPr>
          <w:color w:val="000000"/>
        </w:rPr>
        <w:t>they would have to comply with the governments stipulations in order to maintain a stable livelihood</w:t>
      </w:r>
      <w:r w:rsidR="00C517CD">
        <w:rPr>
          <w:color w:val="000000"/>
        </w:rPr>
        <w:t xml:space="preserve"> for their bands</w:t>
      </w:r>
      <w:r w:rsidR="00056D95">
        <w:rPr>
          <w:color w:val="000000"/>
        </w:rPr>
        <w:t>.</w:t>
      </w:r>
      <w:r w:rsidR="00C517CD">
        <w:rPr>
          <w:color w:val="000000"/>
        </w:rPr>
        <w:t xml:space="preserve"> </w:t>
      </w:r>
      <w:r w:rsidR="00B00223" w:rsidRPr="00B00223">
        <w:rPr>
          <w:color w:val="000000"/>
        </w:rPr>
        <w:t xml:space="preserve">In a meeting with </w:t>
      </w:r>
      <w:r w:rsidR="006274E2">
        <w:rPr>
          <w:color w:val="000000"/>
        </w:rPr>
        <w:t>T</w:t>
      </w:r>
      <w:r w:rsidR="00B00223" w:rsidRPr="00B00223">
        <w:rPr>
          <w:color w:val="000000"/>
        </w:rPr>
        <w:t>reaty 4 bands</w:t>
      </w:r>
      <w:r w:rsidR="006274E2">
        <w:rPr>
          <w:color w:val="000000"/>
        </w:rPr>
        <w:t xml:space="preserve"> </w:t>
      </w:r>
      <w:r w:rsidR="00B00223" w:rsidRPr="00B00223">
        <w:rPr>
          <w:color w:val="000000"/>
        </w:rPr>
        <w:t>held at Qu’Appelle lake, Dewdney state</w:t>
      </w:r>
      <w:r w:rsidR="00C517CD">
        <w:rPr>
          <w:color w:val="000000"/>
        </w:rPr>
        <w:t>d</w:t>
      </w:r>
      <w:r w:rsidR="00B00223" w:rsidRPr="00B00223">
        <w:rPr>
          <w:color w:val="000000"/>
        </w:rPr>
        <w:t xml:space="preserve"> that they </w:t>
      </w:r>
      <w:r w:rsidR="00DF6361">
        <w:rPr>
          <w:color w:val="000000"/>
        </w:rPr>
        <w:t>were</w:t>
      </w:r>
      <w:r w:rsidR="00B00223" w:rsidRPr="00B00223">
        <w:rPr>
          <w:color w:val="000000"/>
        </w:rPr>
        <w:t xml:space="preserve"> pleased with the </w:t>
      </w:r>
      <w:r w:rsidR="00B00223" w:rsidRPr="00B00223">
        <w:rPr>
          <w:color w:val="000000"/>
        </w:rPr>
        <w:lastRenderedPageBreak/>
        <w:t>assistance that ha</w:t>
      </w:r>
      <w:r w:rsidR="00DF6361">
        <w:rPr>
          <w:color w:val="000000"/>
        </w:rPr>
        <w:t>d</w:t>
      </w:r>
      <w:r w:rsidR="00B00223" w:rsidRPr="00B00223">
        <w:rPr>
          <w:color w:val="000000"/>
        </w:rPr>
        <w:t xml:space="preserve"> been given to them, only making what Dewdney labeled as a “reasonable request” for more tools. This request </w:t>
      </w:r>
      <w:r w:rsidR="00C517CD">
        <w:rPr>
          <w:color w:val="000000"/>
        </w:rPr>
        <w:t>wa</w:t>
      </w:r>
      <w:r w:rsidR="00B00223" w:rsidRPr="00B00223">
        <w:rPr>
          <w:color w:val="000000"/>
        </w:rPr>
        <w:t>s accepted, however, Dewdney neglect</w:t>
      </w:r>
      <w:r w:rsidR="00C517CD">
        <w:rPr>
          <w:color w:val="000000"/>
        </w:rPr>
        <w:t>ed</w:t>
      </w:r>
      <w:r w:rsidR="00B00223" w:rsidRPr="00B00223">
        <w:rPr>
          <w:color w:val="000000"/>
        </w:rPr>
        <w:t xml:space="preserve"> to indicate the quantity of tools supplied, as well as the names of the bands that they w</w:t>
      </w:r>
      <w:r w:rsidR="00C517CD">
        <w:rPr>
          <w:color w:val="000000"/>
        </w:rPr>
        <w:t xml:space="preserve">ere </w:t>
      </w:r>
      <w:r w:rsidR="00B00223" w:rsidRPr="00B00223">
        <w:rPr>
          <w:color w:val="000000"/>
        </w:rPr>
        <w:t>distributed to.</w:t>
      </w:r>
      <w:r w:rsidR="00056D95">
        <w:rPr>
          <w:color w:val="000000"/>
        </w:rPr>
        <w:t xml:space="preserve"> </w:t>
      </w:r>
      <w:r w:rsidR="00C517CD">
        <w:rPr>
          <w:color w:val="000000"/>
        </w:rPr>
        <w:t xml:space="preserve">This </w:t>
      </w:r>
      <w:r w:rsidR="00B00223" w:rsidRPr="00B00223">
        <w:rPr>
          <w:color w:val="000000"/>
        </w:rPr>
        <w:t>display of good faith</w:t>
      </w:r>
      <w:r w:rsidR="00DF6361">
        <w:rPr>
          <w:color w:val="000000"/>
        </w:rPr>
        <w:t xml:space="preserve"> </w:t>
      </w:r>
      <w:r w:rsidR="00C517CD">
        <w:rPr>
          <w:color w:val="000000"/>
        </w:rPr>
        <w:t>wa</w:t>
      </w:r>
      <w:r w:rsidR="00B00223" w:rsidRPr="00B00223">
        <w:rPr>
          <w:color w:val="000000"/>
        </w:rPr>
        <w:t>s exploited by Dewdney as a means of coercion</w:t>
      </w:r>
      <w:r w:rsidR="00C517CD">
        <w:rPr>
          <w:color w:val="000000"/>
        </w:rPr>
        <w:t xml:space="preserve">, </w:t>
      </w:r>
      <w:r w:rsidR="00B00223" w:rsidRPr="00B00223">
        <w:rPr>
          <w:color w:val="000000"/>
        </w:rPr>
        <w:t>control</w:t>
      </w:r>
      <w:r w:rsidR="00C517CD">
        <w:rPr>
          <w:color w:val="000000"/>
        </w:rPr>
        <w:t xml:space="preserve"> and contributed to a false perception o</w:t>
      </w:r>
      <w:r w:rsidR="00DF6361">
        <w:rPr>
          <w:color w:val="000000"/>
        </w:rPr>
        <w:t>f equality</w:t>
      </w:r>
      <w:r w:rsidR="00B00223" w:rsidRPr="00B00223">
        <w:rPr>
          <w:color w:val="000000"/>
        </w:rPr>
        <w:t>,</w:t>
      </w:r>
      <w:r w:rsidR="00C517CD">
        <w:rPr>
          <w:color w:val="000000"/>
        </w:rPr>
        <w:t xml:space="preserve"> as Dewdney stated</w:t>
      </w:r>
      <w:r w:rsidR="00B00223" w:rsidRPr="00B00223">
        <w:rPr>
          <w:color w:val="000000"/>
        </w:rPr>
        <w:t xml:space="preserve"> that the “government </w:t>
      </w:r>
      <w:r w:rsidR="00C517CD">
        <w:rPr>
          <w:color w:val="000000"/>
        </w:rPr>
        <w:t>[was]</w:t>
      </w:r>
      <w:r w:rsidR="00B00223" w:rsidRPr="00B00223">
        <w:rPr>
          <w:color w:val="000000"/>
        </w:rPr>
        <w:t xml:space="preserve"> liberally </w:t>
      </w:r>
      <w:r w:rsidR="00C517CD" w:rsidRPr="00B00223">
        <w:rPr>
          <w:color w:val="000000"/>
        </w:rPr>
        <w:t>assisting</w:t>
      </w:r>
      <w:r w:rsidR="00B00223" w:rsidRPr="00B00223">
        <w:rPr>
          <w:color w:val="000000"/>
        </w:rPr>
        <w:t xml:space="preserve"> all who showed a disposition to work.”</w:t>
      </w:r>
      <w:r w:rsidR="00056D95">
        <w:rPr>
          <w:rStyle w:val="FootnoteReference"/>
          <w:color w:val="000000"/>
        </w:rPr>
        <w:footnoteReference w:id="99"/>
      </w:r>
      <w:r w:rsidR="00056D95">
        <w:rPr>
          <w:color w:val="000000"/>
        </w:rPr>
        <w:t xml:space="preserve"> </w:t>
      </w:r>
      <w:r w:rsidR="009F0242">
        <w:rPr>
          <w:color w:val="000000"/>
        </w:rPr>
        <w:t>In his report D</w:t>
      </w:r>
      <w:r w:rsidR="00B00223" w:rsidRPr="00B00223">
        <w:rPr>
          <w:color w:val="000000"/>
        </w:rPr>
        <w:t>ewdney state</w:t>
      </w:r>
      <w:r w:rsidR="00C517CD">
        <w:rPr>
          <w:color w:val="000000"/>
        </w:rPr>
        <w:t>d</w:t>
      </w:r>
      <w:r w:rsidR="00B00223" w:rsidRPr="00B00223">
        <w:rPr>
          <w:color w:val="000000"/>
        </w:rPr>
        <w:t xml:space="preserve"> that although assisting band members, or in his words “uncivilized savages,” </w:t>
      </w:r>
      <w:r w:rsidR="00C517CD">
        <w:rPr>
          <w:color w:val="000000"/>
        </w:rPr>
        <w:t>wa</w:t>
      </w:r>
      <w:r w:rsidR="00B00223" w:rsidRPr="00B00223">
        <w:rPr>
          <w:color w:val="000000"/>
        </w:rPr>
        <w:t xml:space="preserve">s necessary, he considered it to be lost time. To limit future government expenditures, Dewdney </w:t>
      </w:r>
      <w:r w:rsidR="00C517CD" w:rsidRPr="00B00223">
        <w:rPr>
          <w:color w:val="000000"/>
        </w:rPr>
        <w:t>state</w:t>
      </w:r>
      <w:r w:rsidR="00C517CD">
        <w:rPr>
          <w:color w:val="000000"/>
        </w:rPr>
        <w:t>d</w:t>
      </w:r>
      <w:r w:rsidR="00B00223" w:rsidRPr="00B00223">
        <w:rPr>
          <w:color w:val="000000"/>
        </w:rPr>
        <w:t xml:space="preserve"> that the </w:t>
      </w:r>
      <w:r w:rsidR="00C517CD" w:rsidRPr="00B00223">
        <w:rPr>
          <w:color w:val="000000"/>
        </w:rPr>
        <w:t>Indigenous</w:t>
      </w:r>
      <w:r w:rsidR="00B00223" w:rsidRPr="00B00223">
        <w:rPr>
          <w:color w:val="000000"/>
        </w:rPr>
        <w:t xml:space="preserve"> peoples should be encouraged to continue hunting small game, as this w</w:t>
      </w:r>
      <w:r w:rsidR="00C517CD">
        <w:rPr>
          <w:color w:val="000000"/>
        </w:rPr>
        <w:t>ou</w:t>
      </w:r>
      <w:r w:rsidR="00B00223" w:rsidRPr="00B00223">
        <w:rPr>
          <w:color w:val="000000"/>
        </w:rPr>
        <w:t>l</w:t>
      </w:r>
      <w:r w:rsidR="00C517CD">
        <w:rPr>
          <w:color w:val="000000"/>
        </w:rPr>
        <w:t>d</w:t>
      </w:r>
      <w:r w:rsidR="00B00223" w:rsidRPr="00B00223">
        <w:rPr>
          <w:color w:val="000000"/>
        </w:rPr>
        <w:t xml:space="preserve"> alleviate some of the cost</w:t>
      </w:r>
      <w:r w:rsidR="00D04E9E">
        <w:rPr>
          <w:color w:val="000000"/>
        </w:rPr>
        <w:t>s</w:t>
      </w:r>
      <w:r w:rsidR="00B00223" w:rsidRPr="00B00223">
        <w:rPr>
          <w:color w:val="000000"/>
        </w:rPr>
        <w:t xml:space="preserve"> associated with providing bands with food.</w:t>
      </w:r>
      <w:r w:rsidR="00C517CD">
        <w:rPr>
          <w:color w:val="000000"/>
        </w:rPr>
        <w:t xml:space="preserve"> </w:t>
      </w:r>
      <w:r w:rsidR="00D04E9E">
        <w:rPr>
          <w:color w:val="000000"/>
        </w:rPr>
        <w:t>If</w:t>
      </w:r>
      <w:r w:rsidR="00C517CD">
        <w:rPr>
          <w:color w:val="000000"/>
        </w:rPr>
        <w:t xml:space="preserve"> </w:t>
      </w:r>
      <w:r w:rsidR="00C517CD" w:rsidRPr="00B00223">
        <w:rPr>
          <w:color w:val="000000"/>
        </w:rPr>
        <w:t>bands were equipped with the necessary implements for hunting it would put less of a strain on the government</w:t>
      </w:r>
      <w:r w:rsidR="00C517CD">
        <w:rPr>
          <w:color w:val="000000"/>
        </w:rPr>
        <w:t>.</w:t>
      </w:r>
      <w:r w:rsidR="00C517CD" w:rsidRPr="00B00223">
        <w:rPr>
          <w:color w:val="000000"/>
        </w:rPr>
        <w:t xml:space="preserve"> Although at the time this</w:t>
      </w:r>
      <w:r w:rsidR="00C517CD">
        <w:rPr>
          <w:color w:val="000000"/>
        </w:rPr>
        <w:t xml:space="preserve"> practice</w:t>
      </w:r>
      <w:r w:rsidR="00C517CD" w:rsidRPr="00B00223">
        <w:rPr>
          <w:color w:val="000000"/>
        </w:rPr>
        <w:t xml:space="preserve"> was done as a means to assist the government through limiting the</w:t>
      </w:r>
      <w:r w:rsidR="00C517CD">
        <w:rPr>
          <w:color w:val="000000"/>
        </w:rPr>
        <w:t>ir</w:t>
      </w:r>
      <w:r w:rsidR="00C517CD" w:rsidRPr="00B00223">
        <w:rPr>
          <w:color w:val="000000"/>
        </w:rPr>
        <w:t xml:space="preserve"> expenditures, it also work</w:t>
      </w:r>
      <w:r w:rsidR="00C517CD">
        <w:rPr>
          <w:color w:val="000000"/>
        </w:rPr>
        <w:t>s</w:t>
      </w:r>
      <w:r w:rsidR="00C517CD" w:rsidRPr="00B00223">
        <w:rPr>
          <w:color w:val="000000"/>
        </w:rPr>
        <w:t xml:space="preserve"> to assert</w:t>
      </w:r>
      <w:r w:rsidR="00DF6361">
        <w:rPr>
          <w:color w:val="000000"/>
        </w:rPr>
        <w:t xml:space="preserve"> the</w:t>
      </w:r>
      <w:r w:rsidR="00C517CD" w:rsidRPr="00B00223">
        <w:rPr>
          <w:color w:val="000000"/>
        </w:rPr>
        <w:t xml:space="preserve"> </w:t>
      </w:r>
      <w:r w:rsidR="00C517CD">
        <w:rPr>
          <w:color w:val="000000"/>
        </w:rPr>
        <w:t>hunting rights of Treaty 4 members</w:t>
      </w:r>
      <w:r w:rsidR="00C517CD" w:rsidRPr="00B00223">
        <w:rPr>
          <w:color w:val="000000"/>
        </w:rPr>
        <w:t>.</w:t>
      </w:r>
      <w:r w:rsidR="00056D95">
        <w:rPr>
          <w:rStyle w:val="FootnoteReference"/>
          <w:color w:val="000000"/>
        </w:rPr>
        <w:footnoteReference w:id="100"/>
      </w:r>
      <w:r w:rsidR="00C517CD" w:rsidRPr="00B00223">
        <w:rPr>
          <w:color w:val="000000"/>
        </w:rPr>
        <w:t xml:space="preserve"> </w:t>
      </w:r>
      <w:r w:rsidR="009F0242">
        <w:rPr>
          <w:color w:val="000000"/>
        </w:rPr>
        <w:t xml:space="preserve"> </w:t>
      </w:r>
    </w:p>
    <w:p w14:paraId="37B277B7" w14:textId="3E5EF6C2" w:rsidR="009F0242" w:rsidRDefault="00B00223" w:rsidP="009F0242">
      <w:pPr>
        <w:spacing w:line="480" w:lineRule="auto"/>
        <w:ind w:firstLine="720"/>
        <w:textAlignment w:val="baseline"/>
        <w:rPr>
          <w:color w:val="000000"/>
        </w:rPr>
      </w:pPr>
      <w:r w:rsidRPr="00B00223">
        <w:rPr>
          <w:color w:val="000000"/>
        </w:rPr>
        <w:t>G.</w:t>
      </w:r>
      <w:r w:rsidR="00D04E9E">
        <w:rPr>
          <w:color w:val="000000"/>
        </w:rPr>
        <w:t xml:space="preserve"> </w:t>
      </w:r>
      <w:r w:rsidRPr="00B00223">
        <w:rPr>
          <w:color w:val="000000"/>
        </w:rPr>
        <w:t>Newlove was the farm instructor stationed near Qu’Appelle</w:t>
      </w:r>
      <w:r w:rsidR="00DF6361">
        <w:rPr>
          <w:color w:val="000000"/>
        </w:rPr>
        <w:t xml:space="preserve"> in 1881</w:t>
      </w:r>
      <w:r w:rsidRPr="00B00223">
        <w:rPr>
          <w:color w:val="000000"/>
        </w:rPr>
        <w:t xml:space="preserve">, and thus, was assisting Pasquas band. For the year </w:t>
      </w:r>
      <w:r w:rsidR="009F0242">
        <w:rPr>
          <w:color w:val="000000"/>
        </w:rPr>
        <w:t xml:space="preserve">of </w:t>
      </w:r>
      <w:r w:rsidRPr="00B00223">
        <w:rPr>
          <w:color w:val="000000"/>
        </w:rPr>
        <w:t xml:space="preserve">1881, Pasquas band had 70 acres broken, 60 acres under crop, 60 acres of land </w:t>
      </w:r>
      <w:r w:rsidR="00D04E9E" w:rsidRPr="00B00223">
        <w:rPr>
          <w:color w:val="000000"/>
        </w:rPr>
        <w:t>fenced,</w:t>
      </w:r>
      <w:r w:rsidRPr="00B00223">
        <w:rPr>
          <w:color w:val="000000"/>
        </w:rPr>
        <w:t xml:space="preserve"> and 50 tons of hay cut, leading to 1800 bails cut. However, </w:t>
      </w:r>
      <w:r w:rsidR="006274E2" w:rsidRPr="00B00223">
        <w:rPr>
          <w:color w:val="000000"/>
        </w:rPr>
        <w:t>Pasquas</w:t>
      </w:r>
      <w:r w:rsidRPr="00B00223">
        <w:rPr>
          <w:color w:val="000000"/>
        </w:rPr>
        <w:t xml:space="preserve"> band did not have any acres of wheat, oats, barely, potatoes, turnips, peas, or a garden plated this season. This could have been due to a lack of provisions given and/or could signify the late dispersal of seeds to the band. Pasquas band consisted of 218 members in 1881, 160 of which were present on the reserve while 58 were out hunting</w:t>
      </w:r>
      <w:r w:rsidR="00DF6361">
        <w:rPr>
          <w:color w:val="000000"/>
        </w:rPr>
        <w:t>. In addition, the band had</w:t>
      </w:r>
      <w:r w:rsidR="00DF6361" w:rsidRPr="00B00223">
        <w:rPr>
          <w:color w:val="000000"/>
        </w:rPr>
        <w:t xml:space="preserve"> 2 </w:t>
      </w:r>
      <w:proofErr w:type="gramStart"/>
      <w:r w:rsidR="00DF6361" w:rsidRPr="00B00223">
        <w:rPr>
          <w:color w:val="000000"/>
        </w:rPr>
        <w:t>yoke</w:t>
      </w:r>
      <w:proofErr w:type="gramEnd"/>
      <w:r w:rsidR="00DF6361" w:rsidRPr="00B00223">
        <w:rPr>
          <w:color w:val="000000"/>
        </w:rPr>
        <w:t xml:space="preserve"> of </w:t>
      </w:r>
      <w:r w:rsidR="00DF6361" w:rsidRPr="00B00223">
        <w:rPr>
          <w:color w:val="000000"/>
        </w:rPr>
        <w:lastRenderedPageBreak/>
        <w:t>oxen on loan, 20 houses and 8 stables.</w:t>
      </w:r>
      <w:r w:rsidR="001360E4">
        <w:rPr>
          <w:rStyle w:val="FootnoteReference"/>
          <w:color w:val="000000"/>
        </w:rPr>
        <w:footnoteReference w:id="101"/>
      </w:r>
      <w:r w:rsidR="00D04E9E">
        <w:rPr>
          <w:color w:val="000000"/>
        </w:rPr>
        <w:t xml:space="preserve"> Indian Agent</w:t>
      </w:r>
      <w:r w:rsidR="00DF6361">
        <w:rPr>
          <w:color w:val="000000"/>
        </w:rPr>
        <w:t xml:space="preserve"> </w:t>
      </w:r>
      <w:r w:rsidR="00D04E9E">
        <w:rPr>
          <w:color w:val="000000"/>
        </w:rPr>
        <w:t xml:space="preserve">A. </w:t>
      </w:r>
      <w:r w:rsidRPr="00B00223">
        <w:rPr>
          <w:color w:val="000000"/>
        </w:rPr>
        <w:t>M</w:t>
      </w:r>
      <w:r w:rsidRPr="00C517CD">
        <w:rPr>
          <w:color w:val="000000"/>
        </w:rPr>
        <w:t>a</w:t>
      </w:r>
      <w:r w:rsidRPr="00B00223">
        <w:rPr>
          <w:color w:val="000000"/>
        </w:rPr>
        <w:t xml:space="preserve">cdonald </w:t>
      </w:r>
      <w:r w:rsidR="00DF6361">
        <w:rPr>
          <w:color w:val="000000"/>
        </w:rPr>
        <w:t xml:space="preserve">did not supply a report </w:t>
      </w:r>
      <w:r w:rsidR="006274E2">
        <w:rPr>
          <w:color w:val="000000"/>
        </w:rPr>
        <w:t>roughly around</w:t>
      </w:r>
      <w:r w:rsidRPr="00B00223">
        <w:rPr>
          <w:color w:val="000000"/>
        </w:rPr>
        <w:t xml:space="preserve"> June of 1881. It is unlikely that nothing significant had happened </w:t>
      </w:r>
      <w:r w:rsidR="00D04E9E">
        <w:rPr>
          <w:color w:val="000000"/>
        </w:rPr>
        <w:t>from</w:t>
      </w:r>
      <w:r w:rsidRPr="00B00223">
        <w:rPr>
          <w:color w:val="000000"/>
        </w:rPr>
        <w:t xml:space="preserve"> the time of his last report</w:t>
      </w:r>
      <w:r w:rsidR="009F0242">
        <w:rPr>
          <w:color w:val="000000"/>
        </w:rPr>
        <w:t xml:space="preserve"> in January</w:t>
      </w:r>
      <w:r w:rsidRPr="00B00223">
        <w:rPr>
          <w:color w:val="000000"/>
        </w:rPr>
        <w:t>, which makes this empty report questionable.</w:t>
      </w:r>
      <w:r w:rsidR="00BA6375">
        <w:rPr>
          <w:rStyle w:val="FootnoteReference"/>
          <w:color w:val="000000"/>
        </w:rPr>
        <w:footnoteReference w:id="102"/>
      </w:r>
      <w:r w:rsidRPr="00B00223">
        <w:rPr>
          <w:color w:val="000000"/>
        </w:rPr>
        <w:t xml:space="preserve"> </w:t>
      </w:r>
      <w:r w:rsidR="00D04E9E" w:rsidRPr="00C517CD">
        <w:rPr>
          <w:color w:val="111111"/>
          <w:shd w:val="clear" w:color="auto" w:fill="FFFFFF"/>
        </w:rPr>
        <w:t>£</w:t>
      </w:r>
      <w:r w:rsidRPr="00B00223">
        <w:rPr>
          <w:color w:val="000000"/>
        </w:rPr>
        <w:t>63, 776 is paid to the members of Treaty 4 in 188</w:t>
      </w:r>
      <w:r w:rsidR="00DF6361">
        <w:rPr>
          <w:color w:val="000000"/>
        </w:rPr>
        <w:t>1 for annuity payments</w:t>
      </w:r>
      <w:r w:rsidRPr="00B00223">
        <w:rPr>
          <w:color w:val="000000"/>
        </w:rPr>
        <w:t>.</w:t>
      </w:r>
      <w:r w:rsidR="001360E4">
        <w:rPr>
          <w:rStyle w:val="FootnoteReference"/>
          <w:color w:val="000000"/>
        </w:rPr>
        <w:footnoteReference w:id="103"/>
      </w:r>
      <w:r w:rsidR="001360E4">
        <w:rPr>
          <w:color w:val="000000"/>
        </w:rPr>
        <w:t xml:space="preserve"> </w:t>
      </w:r>
      <w:r w:rsidRPr="00C517CD">
        <w:rPr>
          <w:color w:val="000000"/>
        </w:rPr>
        <w:t>Shot and ammunition were distributed to various points in the Qu’Appelle area. However, the names of the bands that received these provisions are not listed in the report.</w:t>
      </w:r>
      <w:r w:rsidR="001360E4">
        <w:rPr>
          <w:rStyle w:val="FootnoteReference"/>
          <w:color w:val="000000"/>
        </w:rPr>
        <w:footnoteReference w:id="104"/>
      </w:r>
      <w:r w:rsidRPr="00C517CD">
        <w:rPr>
          <w:color w:val="000000"/>
        </w:rPr>
        <w:t xml:space="preserve"> </w:t>
      </w:r>
      <w:r w:rsidR="009F0242" w:rsidRPr="00B00223">
        <w:rPr>
          <w:color w:val="000000"/>
        </w:rPr>
        <w:t>Although it</w:t>
      </w:r>
      <w:r w:rsidR="00DF6361">
        <w:rPr>
          <w:color w:val="000000"/>
        </w:rPr>
        <w:t xml:space="preserve"> wa</w:t>
      </w:r>
      <w:r w:rsidR="009F0242" w:rsidRPr="00B00223">
        <w:rPr>
          <w:color w:val="000000"/>
        </w:rPr>
        <w:t xml:space="preserve">s </w:t>
      </w:r>
      <w:r w:rsidR="00DF6361">
        <w:rPr>
          <w:color w:val="000000"/>
        </w:rPr>
        <w:t>recorded</w:t>
      </w:r>
      <w:r w:rsidR="009F0242" w:rsidRPr="00B00223">
        <w:rPr>
          <w:color w:val="000000"/>
        </w:rPr>
        <w:t xml:space="preserve"> in the Indian Affairs Annual Report for 1882 that implements were freighted to Qu'Appelle, Pasquas band is not explicitly listed in these transactions. </w:t>
      </w:r>
      <w:r w:rsidR="001360E4">
        <w:rPr>
          <w:color w:val="000000"/>
        </w:rPr>
        <w:t>The</w:t>
      </w:r>
      <w:r w:rsidR="00D04E9E">
        <w:rPr>
          <w:color w:val="000000"/>
        </w:rPr>
        <w:t xml:space="preserve"> </w:t>
      </w:r>
      <w:r w:rsidR="009F0242" w:rsidRPr="00B00223">
        <w:rPr>
          <w:color w:val="000000"/>
        </w:rPr>
        <w:t>names</w:t>
      </w:r>
      <w:r w:rsidR="00D04E9E">
        <w:rPr>
          <w:color w:val="000000"/>
        </w:rPr>
        <w:t xml:space="preserve"> of </w:t>
      </w:r>
      <w:r w:rsidR="00D04E9E" w:rsidRPr="00B00223">
        <w:rPr>
          <w:color w:val="000000"/>
        </w:rPr>
        <w:t>Pasqua</w:t>
      </w:r>
      <w:r w:rsidR="00D04E9E">
        <w:rPr>
          <w:color w:val="000000"/>
        </w:rPr>
        <w:t xml:space="preserve"> a</w:t>
      </w:r>
      <w:r w:rsidR="00D04E9E" w:rsidRPr="00B00223">
        <w:rPr>
          <w:color w:val="000000"/>
        </w:rPr>
        <w:t>nd/or G. Newlove</w:t>
      </w:r>
      <w:r w:rsidR="009F0242" w:rsidRPr="00B00223">
        <w:rPr>
          <w:color w:val="000000"/>
        </w:rPr>
        <w:t xml:space="preserve"> are not </w:t>
      </w:r>
      <w:r w:rsidR="009F0242">
        <w:rPr>
          <w:color w:val="000000"/>
        </w:rPr>
        <w:t>included</w:t>
      </w:r>
      <w:r w:rsidR="009F0242" w:rsidRPr="00B00223">
        <w:rPr>
          <w:color w:val="000000"/>
        </w:rPr>
        <w:t xml:space="preserve"> throughout any of the accounting reports</w:t>
      </w:r>
      <w:r w:rsidR="001360E4">
        <w:rPr>
          <w:color w:val="000000"/>
        </w:rPr>
        <w:t>, which</w:t>
      </w:r>
      <w:r w:rsidR="009F0242" w:rsidRPr="00B00223">
        <w:rPr>
          <w:color w:val="000000"/>
        </w:rPr>
        <w:t xml:space="preserve"> includes records in reference to the tools, cattle, oxen and ammunition that were freighted and distributed to the bands of Treaty </w:t>
      </w:r>
      <w:r w:rsidR="009F0242">
        <w:rPr>
          <w:color w:val="000000"/>
        </w:rPr>
        <w:t>4.</w:t>
      </w:r>
      <w:r w:rsidR="00BA6375">
        <w:rPr>
          <w:rStyle w:val="FootnoteReference"/>
          <w:color w:val="000000"/>
        </w:rPr>
        <w:footnoteReference w:id="105"/>
      </w:r>
      <w:r w:rsidR="009F0242">
        <w:rPr>
          <w:color w:val="000000"/>
        </w:rPr>
        <w:t xml:space="preserve"> </w:t>
      </w:r>
    </w:p>
    <w:p w14:paraId="7D822D1F" w14:textId="4F595B20" w:rsidR="009F0242" w:rsidRDefault="00B00223" w:rsidP="00DF6361">
      <w:pPr>
        <w:spacing w:line="480" w:lineRule="auto"/>
        <w:ind w:firstLine="720"/>
        <w:textAlignment w:val="baseline"/>
        <w:rPr>
          <w:color w:val="000000"/>
        </w:rPr>
      </w:pPr>
      <w:r w:rsidRPr="00B00223">
        <w:rPr>
          <w:color w:val="000000"/>
        </w:rPr>
        <w:t>Through</w:t>
      </w:r>
      <w:r w:rsidR="001360E4">
        <w:rPr>
          <w:color w:val="000000"/>
        </w:rPr>
        <w:t xml:space="preserve"> a</w:t>
      </w:r>
      <w:r w:rsidRPr="00B00223">
        <w:rPr>
          <w:color w:val="000000"/>
        </w:rPr>
        <w:t xml:space="preserve"> meeting</w:t>
      </w:r>
      <w:r w:rsidR="001360E4" w:rsidRPr="00B00223">
        <w:rPr>
          <w:color w:val="000000"/>
        </w:rPr>
        <w:t xml:space="preserve"> held at Fort Qu’Appelle between General Lord Lorne and the Treaty 4 leaders</w:t>
      </w:r>
      <w:r w:rsidRPr="00B00223">
        <w:rPr>
          <w:color w:val="000000"/>
        </w:rPr>
        <w:t xml:space="preserve"> the government was made blatantly aware of the dire state which many of the bands were in, as they faced starvation and were in need of more farming assistance. This meeting </w:t>
      </w:r>
      <w:r w:rsidR="006274E2">
        <w:rPr>
          <w:color w:val="000000"/>
        </w:rPr>
        <w:t xml:space="preserve">highlighted </w:t>
      </w:r>
      <w:r w:rsidRPr="00B00223">
        <w:rPr>
          <w:color w:val="000000"/>
        </w:rPr>
        <w:t xml:space="preserve">the struggles </w:t>
      </w:r>
      <w:r w:rsidR="00D04E9E">
        <w:rPr>
          <w:color w:val="000000"/>
        </w:rPr>
        <w:t>and</w:t>
      </w:r>
      <w:r w:rsidRPr="00B00223">
        <w:rPr>
          <w:color w:val="000000"/>
        </w:rPr>
        <w:t xml:space="preserve"> </w:t>
      </w:r>
      <w:r w:rsidR="00DF6361">
        <w:rPr>
          <w:color w:val="000000"/>
        </w:rPr>
        <w:t xml:space="preserve">challenges </w:t>
      </w:r>
      <w:r w:rsidRPr="00B00223">
        <w:rPr>
          <w:color w:val="000000"/>
        </w:rPr>
        <w:t xml:space="preserve">that they </w:t>
      </w:r>
      <w:r w:rsidR="00DF6361">
        <w:rPr>
          <w:color w:val="000000"/>
        </w:rPr>
        <w:t>faced due to</w:t>
      </w:r>
      <w:r w:rsidRPr="00B00223">
        <w:rPr>
          <w:color w:val="000000"/>
        </w:rPr>
        <w:t xml:space="preserve"> the inadequate provisions stipulated in their treaty. Chiefs wanted better for their people, including the supply of more provisions and clothing. This desire goes against the ‘savage’</w:t>
      </w:r>
      <w:r w:rsidR="00DF6361">
        <w:rPr>
          <w:color w:val="000000"/>
        </w:rPr>
        <w:t xml:space="preserve"> and ‘lazy’</w:t>
      </w:r>
      <w:r w:rsidRPr="00B00223">
        <w:rPr>
          <w:color w:val="000000"/>
        </w:rPr>
        <w:t xml:space="preserve"> narrative that was </w:t>
      </w:r>
      <w:r w:rsidRPr="00B00223">
        <w:rPr>
          <w:color w:val="000000"/>
        </w:rPr>
        <w:lastRenderedPageBreak/>
        <w:t xml:space="preserve">continued by the government. </w:t>
      </w:r>
      <w:r w:rsidR="00DF6361">
        <w:rPr>
          <w:color w:val="000000"/>
        </w:rPr>
        <w:t>The</w:t>
      </w:r>
      <w:r w:rsidRPr="00B00223">
        <w:rPr>
          <w:color w:val="000000"/>
        </w:rPr>
        <w:t xml:space="preserve"> government continuously pushed bands to make their own </w:t>
      </w:r>
      <w:r w:rsidR="009F0242" w:rsidRPr="00B00223">
        <w:rPr>
          <w:color w:val="000000"/>
        </w:rPr>
        <w:t>living but</w:t>
      </w:r>
      <w:r w:rsidRPr="00B00223">
        <w:rPr>
          <w:color w:val="000000"/>
        </w:rPr>
        <w:t xml:space="preserve"> did not provide them with the adequate tools or power to do so successfully. Expressed throughout this meeting </w:t>
      </w:r>
      <w:r w:rsidR="00DF6361">
        <w:rPr>
          <w:color w:val="000000"/>
        </w:rPr>
        <w:t>wa</w:t>
      </w:r>
      <w:r w:rsidRPr="00B00223">
        <w:rPr>
          <w:color w:val="000000"/>
        </w:rPr>
        <w:t>s a desire to have the treaty rewritten to include what was initially promised</w:t>
      </w:r>
      <w:r w:rsidR="00DF6361">
        <w:rPr>
          <w:color w:val="000000"/>
        </w:rPr>
        <w:t>,</w:t>
      </w:r>
      <w:r w:rsidRPr="00B00223">
        <w:rPr>
          <w:color w:val="000000"/>
        </w:rPr>
        <w:t xml:space="preserve"> but not recorded in the final treaty document due to misinterpretations and ignorance on the part of the Crown. Repeatedly requested </w:t>
      </w:r>
      <w:r w:rsidR="009F0242">
        <w:rPr>
          <w:color w:val="000000"/>
        </w:rPr>
        <w:t xml:space="preserve">for </w:t>
      </w:r>
      <w:r w:rsidRPr="00B00223">
        <w:rPr>
          <w:color w:val="000000"/>
        </w:rPr>
        <w:t>in this meeting is that each family be given a yoke of oxen and a cow, as well as numerous other requests that call for guns, ammunition, needles and thread</w:t>
      </w:r>
      <w:r w:rsidR="00DF6361">
        <w:rPr>
          <w:color w:val="000000"/>
        </w:rPr>
        <w:t>, along with</w:t>
      </w:r>
      <w:r w:rsidRPr="00B00223">
        <w:rPr>
          <w:color w:val="000000"/>
        </w:rPr>
        <w:t xml:space="preserve"> food and other implements.</w:t>
      </w:r>
      <w:r w:rsidR="001360E4">
        <w:rPr>
          <w:rStyle w:val="FootnoteReference"/>
          <w:color w:val="000000"/>
        </w:rPr>
        <w:footnoteReference w:id="106"/>
      </w:r>
      <w:r w:rsidR="009F0242" w:rsidRPr="009F0242">
        <w:rPr>
          <w:color w:val="000000"/>
        </w:rPr>
        <w:t xml:space="preserve"> </w:t>
      </w:r>
      <w:r w:rsidR="009F0242" w:rsidRPr="00B00223">
        <w:rPr>
          <w:color w:val="000000"/>
        </w:rPr>
        <w:t>It is stated by a chief that i</w:t>
      </w:r>
      <w:r w:rsidR="009F0242">
        <w:rPr>
          <w:color w:val="000000"/>
        </w:rPr>
        <w:t>f</w:t>
      </w:r>
      <w:r w:rsidR="009F0242" w:rsidRPr="00B00223">
        <w:rPr>
          <w:color w:val="000000"/>
        </w:rPr>
        <w:t xml:space="preserve"> bands did not receive all that was promised through the treaty making process, then they could no longer be part of the treaty.</w:t>
      </w:r>
      <w:r w:rsidR="001360E4">
        <w:rPr>
          <w:rStyle w:val="FootnoteReference"/>
          <w:color w:val="000000"/>
        </w:rPr>
        <w:footnoteReference w:id="107"/>
      </w:r>
      <w:r w:rsidRPr="00B00223">
        <w:rPr>
          <w:color w:val="000000"/>
        </w:rPr>
        <w:t xml:space="preserve"> </w:t>
      </w:r>
      <w:r w:rsidR="009F0242">
        <w:rPr>
          <w:color w:val="000000"/>
        </w:rPr>
        <w:t xml:space="preserve">In Dewdney’s 1881 report he </w:t>
      </w:r>
      <w:r w:rsidR="009F0242" w:rsidRPr="00B00223">
        <w:rPr>
          <w:color w:val="000000"/>
        </w:rPr>
        <w:t>suggest</w:t>
      </w:r>
      <w:r w:rsidR="009F0242">
        <w:rPr>
          <w:color w:val="000000"/>
        </w:rPr>
        <w:t>ed</w:t>
      </w:r>
      <w:r w:rsidR="009F0242" w:rsidRPr="00B00223">
        <w:rPr>
          <w:color w:val="000000"/>
        </w:rPr>
        <w:t xml:space="preserve"> that the dispersal of a plough to each family</w:t>
      </w:r>
      <w:r w:rsidR="009F0242">
        <w:rPr>
          <w:color w:val="000000"/>
        </w:rPr>
        <w:t xml:space="preserve"> that</w:t>
      </w:r>
      <w:r w:rsidR="009F0242" w:rsidRPr="00B00223">
        <w:rPr>
          <w:color w:val="000000"/>
        </w:rPr>
        <w:t xml:space="preserve"> an agent deem</w:t>
      </w:r>
      <w:r w:rsidR="009F0242">
        <w:rPr>
          <w:color w:val="000000"/>
        </w:rPr>
        <w:t>ed</w:t>
      </w:r>
      <w:r w:rsidR="009F0242" w:rsidRPr="00B00223">
        <w:rPr>
          <w:color w:val="000000"/>
        </w:rPr>
        <w:t xml:space="preserve"> as fit, w</w:t>
      </w:r>
      <w:r w:rsidR="009F0242">
        <w:rPr>
          <w:color w:val="000000"/>
        </w:rPr>
        <w:t>ould</w:t>
      </w:r>
      <w:r w:rsidR="009F0242" w:rsidRPr="00B00223">
        <w:rPr>
          <w:color w:val="000000"/>
        </w:rPr>
        <w:t xml:space="preserve"> work as a method to coerce bands to settle down.</w:t>
      </w:r>
      <w:r w:rsidR="009F0242">
        <w:rPr>
          <w:color w:val="000000"/>
        </w:rPr>
        <w:t xml:space="preserve"> In addition, it</w:t>
      </w:r>
      <w:r w:rsidR="009F0242" w:rsidRPr="00B00223">
        <w:rPr>
          <w:color w:val="000000"/>
        </w:rPr>
        <w:t xml:space="preserve"> </w:t>
      </w:r>
      <w:r w:rsidR="009F0242">
        <w:rPr>
          <w:color w:val="000000"/>
        </w:rPr>
        <w:t>was</w:t>
      </w:r>
      <w:r w:rsidR="009F0242" w:rsidRPr="00B00223">
        <w:rPr>
          <w:color w:val="000000"/>
        </w:rPr>
        <w:t xml:space="preserve"> briefly mentioned</w:t>
      </w:r>
      <w:r w:rsidR="009F0242">
        <w:rPr>
          <w:color w:val="000000"/>
        </w:rPr>
        <w:t xml:space="preserve"> in Dewdney’s report</w:t>
      </w:r>
      <w:r w:rsidR="009F0242" w:rsidRPr="00B00223">
        <w:rPr>
          <w:color w:val="000000"/>
        </w:rPr>
        <w:t xml:space="preserve"> that if bands </w:t>
      </w:r>
      <w:r w:rsidR="009F0242">
        <w:rPr>
          <w:color w:val="000000"/>
        </w:rPr>
        <w:t>were</w:t>
      </w:r>
      <w:r w:rsidR="009F0242" w:rsidRPr="00B00223">
        <w:rPr>
          <w:color w:val="000000"/>
        </w:rPr>
        <w:t xml:space="preserve"> unable to have a school on their reserve, due to </w:t>
      </w:r>
      <w:r w:rsidR="009F0242">
        <w:rPr>
          <w:color w:val="000000"/>
        </w:rPr>
        <w:t xml:space="preserve">the </w:t>
      </w:r>
      <w:r w:rsidR="009F0242" w:rsidRPr="00B00223">
        <w:rPr>
          <w:color w:val="000000"/>
        </w:rPr>
        <w:t xml:space="preserve">difficulty </w:t>
      </w:r>
      <w:r w:rsidR="009F0242">
        <w:rPr>
          <w:color w:val="000000"/>
        </w:rPr>
        <w:t>of</w:t>
      </w:r>
      <w:r w:rsidR="009F0242" w:rsidRPr="00B00223">
        <w:rPr>
          <w:color w:val="000000"/>
        </w:rPr>
        <w:t xml:space="preserve"> securing a teacher, then they should </w:t>
      </w:r>
      <w:r w:rsidR="00D04E9E">
        <w:rPr>
          <w:color w:val="000000"/>
        </w:rPr>
        <w:t xml:space="preserve">receive </w:t>
      </w:r>
      <w:r w:rsidR="009F0242" w:rsidRPr="00B00223">
        <w:rPr>
          <w:color w:val="000000"/>
        </w:rPr>
        <w:t>a fixed sum of money.</w:t>
      </w:r>
      <w:r w:rsidR="001360E4">
        <w:rPr>
          <w:rStyle w:val="FootnoteReference"/>
          <w:color w:val="000000"/>
        </w:rPr>
        <w:footnoteReference w:id="108"/>
      </w:r>
      <w:r w:rsidR="001360E4">
        <w:rPr>
          <w:color w:val="000000"/>
        </w:rPr>
        <w:t xml:space="preserve"> </w:t>
      </w:r>
      <w:r w:rsidR="009F0242" w:rsidRPr="00B00223">
        <w:rPr>
          <w:color w:val="000000"/>
        </w:rPr>
        <w:t>In 1882, as reported by</w:t>
      </w:r>
      <w:r w:rsidR="00DF6361">
        <w:rPr>
          <w:color w:val="000000"/>
        </w:rPr>
        <w:t xml:space="preserve"> </w:t>
      </w:r>
      <w:r w:rsidR="009F0242" w:rsidRPr="00B00223">
        <w:rPr>
          <w:color w:val="000000"/>
        </w:rPr>
        <w:t>Dewdney, Pasquas band was</w:t>
      </w:r>
      <w:r w:rsidR="009F0242">
        <w:rPr>
          <w:color w:val="000000"/>
        </w:rPr>
        <w:t xml:space="preserve"> un</w:t>
      </w:r>
      <w:r w:rsidR="009F0242" w:rsidRPr="00B00223">
        <w:rPr>
          <w:color w:val="000000"/>
        </w:rPr>
        <w:t xml:space="preserve">able to decide </w:t>
      </w:r>
      <w:r w:rsidR="00D04E9E">
        <w:rPr>
          <w:color w:val="000000"/>
        </w:rPr>
        <w:t>on a</w:t>
      </w:r>
      <w:r w:rsidR="009F0242" w:rsidRPr="00B00223">
        <w:rPr>
          <w:color w:val="000000"/>
        </w:rPr>
        <w:t xml:space="preserve"> location which they desired to have a school built</w:t>
      </w:r>
      <w:r w:rsidR="009F0242">
        <w:rPr>
          <w:color w:val="000000"/>
        </w:rPr>
        <w:t>, indicating that this treaty promise was yet to be fulfilled</w:t>
      </w:r>
      <w:r w:rsidR="009F0242" w:rsidRPr="00B00223">
        <w:rPr>
          <w:color w:val="000000"/>
        </w:rPr>
        <w:t>.</w:t>
      </w:r>
      <w:r w:rsidR="001360E4">
        <w:rPr>
          <w:rStyle w:val="FootnoteReference"/>
          <w:color w:val="000000"/>
        </w:rPr>
        <w:footnoteReference w:id="109"/>
      </w:r>
    </w:p>
    <w:p w14:paraId="2D92CFDA" w14:textId="13D1FF69" w:rsidR="00B00223" w:rsidRPr="00B00223" w:rsidRDefault="00B00223" w:rsidP="009F0242">
      <w:pPr>
        <w:spacing w:line="480" w:lineRule="auto"/>
        <w:ind w:firstLine="720"/>
        <w:textAlignment w:val="baseline"/>
        <w:rPr>
          <w:color w:val="000000"/>
        </w:rPr>
      </w:pPr>
      <w:r w:rsidRPr="00B00223">
        <w:rPr>
          <w:color w:val="000000"/>
        </w:rPr>
        <w:t>It is stated in</w:t>
      </w:r>
      <w:r w:rsidR="006274E2">
        <w:rPr>
          <w:color w:val="000000"/>
        </w:rPr>
        <w:t xml:space="preserve"> the</w:t>
      </w:r>
      <w:r w:rsidR="009F0242">
        <w:rPr>
          <w:color w:val="000000"/>
        </w:rPr>
        <w:t xml:space="preserve"> </w:t>
      </w:r>
      <w:r w:rsidR="006274E2">
        <w:rPr>
          <w:color w:val="000000"/>
        </w:rPr>
        <w:t xml:space="preserve">Inspector of Indian Affairs </w:t>
      </w:r>
      <w:r w:rsidRPr="00B00223">
        <w:rPr>
          <w:color w:val="000000"/>
        </w:rPr>
        <w:t xml:space="preserve">T.P. </w:t>
      </w:r>
      <w:proofErr w:type="spellStart"/>
      <w:r w:rsidRPr="00B00223">
        <w:rPr>
          <w:color w:val="000000"/>
        </w:rPr>
        <w:t>Wadsworths</w:t>
      </w:r>
      <w:proofErr w:type="spellEnd"/>
      <w:r w:rsidRPr="00B00223">
        <w:rPr>
          <w:color w:val="000000"/>
        </w:rPr>
        <w:t xml:space="preserve"> 1882 report that the crop on Pasquas band had grown from 60 acres to 83.</w:t>
      </w:r>
      <w:r w:rsidR="006274E2" w:rsidRPr="006274E2">
        <w:rPr>
          <w:rStyle w:val="FootnoteReference"/>
          <w:color w:val="000000"/>
        </w:rPr>
        <w:t xml:space="preserve"> </w:t>
      </w:r>
      <w:r w:rsidR="006274E2">
        <w:rPr>
          <w:rStyle w:val="FootnoteReference"/>
          <w:color w:val="000000"/>
        </w:rPr>
        <w:footnoteReference w:id="110"/>
      </w:r>
      <w:r w:rsidR="006274E2">
        <w:rPr>
          <w:color w:val="000000"/>
        </w:rPr>
        <w:t xml:space="preserve"> </w:t>
      </w:r>
      <w:r w:rsidRPr="00B00223">
        <w:rPr>
          <w:color w:val="000000"/>
        </w:rPr>
        <w:t xml:space="preserve"> However, he expresses his disapproval in </w:t>
      </w:r>
      <w:r w:rsidRPr="00B00223">
        <w:rPr>
          <w:color w:val="000000"/>
        </w:rPr>
        <w:lastRenderedPageBreak/>
        <w:t xml:space="preserve">regard to the manner that they </w:t>
      </w:r>
      <w:r w:rsidR="00DF6361">
        <w:rPr>
          <w:color w:val="000000"/>
        </w:rPr>
        <w:t xml:space="preserve">were </w:t>
      </w:r>
      <w:r w:rsidRPr="00B00223">
        <w:rPr>
          <w:color w:val="000000"/>
        </w:rPr>
        <w:t xml:space="preserve">farming, fearing that they would have nothing to show if they continued to eat the grain as they worked. The government's failures are once again ignored, as blame is cast onto the “Indians” in this respect. </w:t>
      </w:r>
      <w:r w:rsidR="006274E2">
        <w:rPr>
          <w:color w:val="000000"/>
        </w:rPr>
        <w:t>F</w:t>
      </w:r>
      <w:r w:rsidRPr="00B00223">
        <w:rPr>
          <w:color w:val="000000"/>
        </w:rPr>
        <w:t xml:space="preserve">urther in </w:t>
      </w:r>
      <w:r w:rsidR="00DF6361">
        <w:rPr>
          <w:color w:val="000000"/>
        </w:rPr>
        <w:t>hi</w:t>
      </w:r>
      <w:r w:rsidRPr="00B00223">
        <w:rPr>
          <w:color w:val="000000"/>
        </w:rPr>
        <w:t>s report Wadsworth shifts this narrative as he comments on the failure of the farm instructors, stating that he could not “say the Indians [were] to blame, for they appeared tractable and willing [to farm].” This is a vastly different view than what was held by the government at this time. Following this, Wadsworth note</w:t>
      </w:r>
      <w:r w:rsidR="006274E2">
        <w:rPr>
          <w:color w:val="000000"/>
        </w:rPr>
        <w:t>s</w:t>
      </w:r>
      <w:r w:rsidRPr="00B00223">
        <w:rPr>
          <w:color w:val="000000"/>
        </w:rPr>
        <w:t xml:space="preserve"> that although many bands </w:t>
      </w:r>
      <w:r w:rsidR="00DF6361">
        <w:rPr>
          <w:color w:val="000000"/>
        </w:rPr>
        <w:t>were</w:t>
      </w:r>
      <w:r w:rsidRPr="00B00223">
        <w:rPr>
          <w:color w:val="000000"/>
        </w:rPr>
        <w:t xml:space="preserve"> doing well</w:t>
      </w:r>
      <w:r w:rsidR="009F0242">
        <w:rPr>
          <w:color w:val="000000"/>
        </w:rPr>
        <w:t>,</w:t>
      </w:r>
      <w:r w:rsidRPr="00B00223">
        <w:rPr>
          <w:color w:val="000000"/>
        </w:rPr>
        <w:t xml:space="preserve"> they would continue to need “direct supervision,” stating that the government should retain the employment of </w:t>
      </w:r>
      <w:r w:rsidR="00D04E9E">
        <w:rPr>
          <w:color w:val="000000"/>
        </w:rPr>
        <w:t>“</w:t>
      </w:r>
      <w:r w:rsidRPr="00B00223">
        <w:rPr>
          <w:color w:val="000000"/>
        </w:rPr>
        <w:t>faithful instructors.</w:t>
      </w:r>
      <w:r w:rsidR="00D04E9E">
        <w:rPr>
          <w:color w:val="000000"/>
        </w:rPr>
        <w:t>”</w:t>
      </w:r>
      <w:r w:rsidR="001360E4">
        <w:rPr>
          <w:rStyle w:val="FootnoteReference"/>
          <w:color w:val="000000"/>
        </w:rPr>
        <w:footnoteReference w:id="111"/>
      </w:r>
      <w:r w:rsidR="009F0242">
        <w:rPr>
          <w:color w:val="000000"/>
        </w:rPr>
        <w:t xml:space="preserve"> </w:t>
      </w:r>
      <w:r w:rsidR="009F0242" w:rsidRPr="00B00223">
        <w:rPr>
          <w:color w:val="000000"/>
        </w:rPr>
        <w:t>As previously stated, the government perpetrated a narrative that labeled agriculture as ‘</w:t>
      </w:r>
      <w:r w:rsidR="001360E4" w:rsidRPr="00B00223">
        <w:rPr>
          <w:color w:val="000000"/>
        </w:rPr>
        <w:t>foreign</w:t>
      </w:r>
      <w:r w:rsidR="009F0242" w:rsidRPr="00B00223">
        <w:rPr>
          <w:color w:val="000000"/>
        </w:rPr>
        <w:t xml:space="preserve">’ practice to Indigenous peoples. However, </w:t>
      </w:r>
      <w:r w:rsidR="00D04E9E">
        <w:rPr>
          <w:color w:val="000000"/>
        </w:rPr>
        <w:t xml:space="preserve">A. </w:t>
      </w:r>
      <w:r w:rsidR="009F0242" w:rsidRPr="00B00223">
        <w:rPr>
          <w:color w:val="000000"/>
        </w:rPr>
        <w:t>Macdonald contrast</w:t>
      </w:r>
      <w:r w:rsidR="009F0242">
        <w:rPr>
          <w:color w:val="000000"/>
        </w:rPr>
        <w:t>ed</w:t>
      </w:r>
      <w:r w:rsidR="009F0242" w:rsidRPr="00B00223">
        <w:rPr>
          <w:color w:val="000000"/>
        </w:rPr>
        <w:t xml:space="preserve"> this narrative</w:t>
      </w:r>
      <w:r w:rsidR="009F0242">
        <w:rPr>
          <w:color w:val="000000"/>
        </w:rPr>
        <w:t xml:space="preserve"> in his 1882 report</w:t>
      </w:r>
      <w:r w:rsidR="009F0242" w:rsidRPr="00B00223">
        <w:rPr>
          <w:color w:val="000000"/>
        </w:rPr>
        <w:t xml:space="preserve"> when he stated that </w:t>
      </w:r>
      <w:r w:rsidR="00DF6361">
        <w:rPr>
          <w:color w:val="000000"/>
        </w:rPr>
        <w:t>bands</w:t>
      </w:r>
      <w:r w:rsidR="009F0242" w:rsidRPr="00B00223">
        <w:rPr>
          <w:color w:val="000000"/>
        </w:rPr>
        <w:t xml:space="preserve"> had “a natural hent for agriculture.”</w:t>
      </w:r>
      <w:r w:rsidR="001360E4">
        <w:rPr>
          <w:rStyle w:val="FootnoteReference"/>
          <w:color w:val="000000"/>
        </w:rPr>
        <w:footnoteReference w:id="112"/>
      </w:r>
      <w:r w:rsidR="001360E4">
        <w:rPr>
          <w:color w:val="000000"/>
        </w:rPr>
        <w:t xml:space="preserve"> </w:t>
      </w:r>
      <w:r w:rsidR="009F0242" w:rsidRPr="00B00223">
        <w:rPr>
          <w:color w:val="000000"/>
        </w:rPr>
        <w:t>Overtime, the skills held by band members increase</w:t>
      </w:r>
      <w:r w:rsidR="009F0242">
        <w:rPr>
          <w:color w:val="000000"/>
        </w:rPr>
        <w:t>d</w:t>
      </w:r>
      <w:r w:rsidR="009F0242" w:rsidRPr="00B00223">
        <w:rPr>
          <w:color w:val="000000"/>
        </w:rPr>
        <w:t xml:space="preserve"> and bec</w:t>
      </w:r>
      <w:r w:rsidR="009F0242">
        <w:rPr>
          <w:color w:val="000000"/>
        </w:rPr>
        <w:t>a</w:t>
      </w:r>
      <w:r w:rsidR="009F0242" w:rsidRPr="00B00223">
        <w:rPr>
          <w:color w:val="000000"/>
        </w:rPr>
        <w:t>me recognized by government officials.</w:t>
      </w:r>
      <w:r w:rsidR="001360E4">
        <w:rPr>
          <w:rStyle w:val="FootnoteReference"/>
          <w:color w:val="000000"/>
        </w:rPr>
        <w:footnoteReference w:id="113"/>
      </w:r>
      <w:r w:rsidR="009F0242" w:rsidRPr="00B00223">
        <w:rPr>
          <w:color w:val="000000"/>
        </w:rPr>
        <w:t xml:space="preserve"> </w:t>
      </w:r>
      <w:r w:rsidR="009F0242">
        <w:rPr>
          <w:color w:val="000000"/>
        </w:rPr>
        <w:t>Macdonald acknowledged that i</w:t>
      </w:r>
      <w:r w:rsidR="009F0242" w:rsidRPr="00B00223">
        <w:rPr>
          <w:color w:val="000000"/>
        </w:rPr>
        <w:t xml:space="preserve">f bands were given the necessary implements needed to mill their own grain, they would put less </w:t>
      </w:r>
      <w:r w:rsidR="00DF6361">
        <w:rPr>
          <w:color w:val="000000"/>
        </w:rPr>
        <w:t xml:space="preserve">of a </w:t>
      </w:r>
      <w:r w:rsidR="009F0242" w:rsidRPr="00B00223">
        <w:rPr>
          <w:color w:val="000000"/>
        </w:rPr>
        <w:t xml:space="preserve">strain on the government in the future, which would lead to a decrease in their overall yearly expenditures. </w:t>
      </w:r>
      <w:r w:rsidR="009F0242">
        <w:rPr>
          <w:color w:val="000000"/>
        </w:rPr>
        <w:t xml:space="preserve">Additionally, he noted </w:t>
      </w:r>
      <w:r w:rsidR="009F0242" w:rsidRPr="00B00223">
        <w:rPr>
          <w:color w:val="000000"/>
        </w:rPr>
        <w:t>that Pasquas band would be a little expense to the government in the future, as they had received relief in the amounts of 2</w:t>
      </w:r>
      <w:r w:rsidR="009F0242">
        <w:rPr>
          <w:color w:val="000000"/>
        </w:rPr>
        <w:t>,</w:t>
      </w:r>
      <w:r w:rsidR="009F0242" w:rsidRPr="00B00223">
        <w:rPr>
          <w:color w:val="000000"/>
        </w:rPr>
        <w:t>529 lbs of flour and 1</w:t>
      </w:r>
      <w:r w:rsidR="009F0242">
        <w:rPr>
          <w:color w:val="000000"/>
        </w:rPr>
        <w:t>,</w:t>
      </w:r>
      <w:r w:rsidR="009F0242" w:rsidRPr="00B00223">
        <w:rPr>
          <w:color w:val="000000"/>
        </w:rPr>
        <w:t>399 lbs of bacon.</w:t>
      </w:r>
      <w:r w:rsidR="001360E4">
        <w:rPr>
          <w:rStyle w:val="FootnoteReference"/>
          <w:color w:val="000000"/>
        </w:rPr>
        <w:footnoteReference w:id="114"/>
      </w:r>
      <w:r w:rsidR="009F0242" w:rsidRPr="00B00223">
        <w:rPr>
          <w:color w:val="000000"/>
        </w:rPr>
        <w:t xml:space="preserve"> </w:t>
      </w:r>
    </w:p>
    <w:p w14:paraId="1DADFACF" w14:textId="53A0F595" w:rsidR="00D04E9E" w:rsidRDefault="00B00223" w:rsidP="009B425D">
      <w:pPr>
        <w:spacing w:line="480" w:lineRule="auto"/>
        <w:ind w:firstLine="720"/>
        <w:textAlignment w:val="baseline"/>
        <w:rPr>
          <w:color w:val="000000"/>
        </w:rPr>
      </w:pPr>
      <w:r w:rsidRPr="00B00223">
        <w:rPr>
          <w:color w:val="000000"/>
        </w:rPr>
        <w:t>In 188</w:t>
      </w:r>
      <w:r w:rsidR="009F0242">
        <w:rPr>
          <w:color w:val="000000"/>
        </w:rPr>
        <w:t>2</w:t>
      </w:r>
      <w:r w:rsidRPr="00B00223">
        <w:rPr>
          <w:color w:val="000000"/>
        </w:rPr>
        <w:t xml:space="preserve"> there were 218 members in Pasquas band</w:t>
      </w:r>
      <w:r w:rsidR="00DF6361">
        <w:rPr>
          <w:color w:val="000000"/>
        </w:rPr>
        <w:t>, which reflects the same amount that was rec</w:t>
      </w:r>
      <w:r w:rsidR="00D04E9E">
        <w:rPr>
          <w:color w:val="000000"/>
        </w:rPr>
        <w:t>ord</w:t>
      </w:r>
      <w:r w:rsidR="00DF6361">
        <w:rPr>
          <w:color w:val="000000"/>
        </w:rPr>
        <w:t xml:space="preserve">ed in 1881. </w:t>
      </w:r>
      <w:r w:rsidRPr="00B00223">
        <w:rPr>
          <w:color w:val="000000"/>
        </w:rPr>
        <w:t xml:space="preserve">75 </w:t>
      </w:r>
      <w:r w:rsidR="00DF6361">
        <w:rPr>
          <w:color w:val="000000"/>
        </w:rPr>
        <w:t xml:space="preserve">members </w:t>
      </w:r>
      <w:r w:rsidRPr="00B00223">
        <w:rPr>
          <w:color w:val="000000"/>
        </w:rPr>
        <w:t>were hunting at the time of reporting.</w:t>
      </w:r>
      <w:r w:rsidR="001360E4">
        <w:rPr>
          <w:rStyle w:val="FootnoteReference"/>
          <w:color w:val="000000"/>
        </w:rPr>
        <w:footnoteReference w:id="115"/>
      </w:r>
      <w:r w:rsidRPr="00B00223">
        <w:rPr>
          <w:color w:val="000000"/>
        </w:rPr>
        <w:t xml:space="preserve"> This indicates that </w:t>
      </w:r>
      <w:r w:rsidRPr="00B00223">
        <w:rPr>
          <w:color w:val="000000"/>
        </w:rPr>
        <w:lastRenderedPageBreak/>
        <w:t>t</w:t>
      </w:r>
      <w:r w:rsidR="009F0242">
        <w:rPr>
          <w:color w:val="000000"/>
        </w:rPr>
        <w:t>he band(s)</w:t>
      </w:r>
      <w:r w:rsidRPr="00B00223">
        <w:rPr>
          <w:color w:val="000000"/>
        </w:rPr>
        <w:t xml:space="preserve"> were still reliant on their previous ways of life to provide them with a stable food supply.</w:t>
      </w:r>
      <w:r w:rsidR="009F0242" w:rsidRPr="009F0242">
        <w:rPr>
          <w:color w:val="000000"/>
        </w:rPr>
        <w:t xml:space="preserve"> </w:t>
      </w:r>
      <w:r w:rsidR="009F0242" w:rsidRPr="00B00223">
        <w:rPr>
          <w:color w:val="000000"/>
        </w:rPr>
        <w:t xml:space="preserve">In addition, there were 3 men employed on Pasquas reserve, </w:t>
      </w:r>
      <w:r w:rsidR="00D04E9E">
        <w:rPr>
          <w:color w:val="000000"/>
        </w:rPr>
        <w:t xml:space="preserve">still </w:t>
      </w:r>
      <w:r w:rsidR="009F0242" w:rsidRPr="00B00223">
        <w:rPr>
          <w:color w:val="000000"/>
        </w:rPr>
        <w:t xml:space="preserve">including </w:t>
      </w:r>
      <w:r w:rsidR="00D04E9E">
        <w:rPr>
          <w:color w:val="000000"/>
        </w:rPr>
        <w:t>only one</w:t>
      </w:r>
      <w:r w:rsidR="009F0242" w:rsidRPr="00B00223">
        <w:rPr>
          <w:color w:val="000000"/>
        </w:rPr>
        <w:t xml:space="preserve"> farm </w:t>
      </w:r>
      <w:r w:rsidR="00D04E9E">
        <w:rPr>
          <w:color w:val="000000"/>
        </w:rPr>
        <w:t>instructor</w:t>
      </w:r>
      <w:r w:rsidR="006274E2">
        <w:rPr>
          <w:color w:val="000000"/>
        </w:rPr>
        <w:t xml:space="preserve"> and a</w:t>
      </w:r>
      <w:r w:rsidR="009F0242" w:rsidRPr="00B00223">
        <w:rPr>
          <w:color w:val="000000"/>
        </w:rPr>
        <w:t>n insufficient number of horses (2) and oxen (3).</w:t>
      </w:r>
      <w:r w:rsidR="001360E4">
        <w:rPr>
          <w:rStyle w:val="FootnoteReference"/>
          <w:color w:val="000000"/>
        </w:rPr>
        <w:footnoteReference w:id="116"/>
      </w:r>
      <w:r w:rsidR="009F0242">
        <w:rPr>
          <w:color w:val="000000"/>
        </w:rPr>
        <w:t xml:space="preserve"> This number varies slightly from </w:t>
      </w:r>
      <w:r w:rsidR="001360E4">
        <w:rPr>
          <w:color w:val="000000"/>
        </w:rPr>
        <w:t>Macdonald’s</w:t>
      </w:r>
      <w:r w:rsidR="009F0242">
        <w:rPr>
          <w:color w:val="000000"/>
        </w:rPr>
        <w:t xml:space="preserve"> report, as he </w:t>
      </w:r>
      <w:r w:rsidR="009F0242" w:rsidRPr="00B00223">
        <w:rPr>
          <w:color w:val="000000"/>
        </w:rPr>
        <w:t xml:space="preserve">noted </w:t>
      </w:r>
      <w:r w:rsidR="009F0242">
        <w:rPr>
          <w:color w:val="000000"/>
        </w:rPr>
        <w:t>that Pasquas band</w:t>
      </w:r>
      <w:r w:rsidR="009F0242" w:rsidRPr="00B00223">
        <w:rPr>
          <w:color w:val="000000"/>
        </w:rPr>
        <w:t xml:space="preserve"> ha</w:t>
      </w:r>
      <w:r w:rsidR="009F0242">
        <w:rPr>
          <w:color w:val="000000"/>
        </w:rPr>
        <w:t>d</w:t>
      </w:r>
      <w:r w:rsidR="009F0242" w:rsidRPr="00B00223">
        <w:rPr>
          <w:color w:val="000000"/>
        </w:rPr>
        <w:t xml:space="preserve"> 6 yoke of oxen at this time, including many that were able to plough.</w:t>
      </w:r>
      <w:r w:rsidR="001360E4">
        <w:rPr>
          <w:rStyle w:val="FootnoteReference"/>
          <w:color w:val="000000"/>
        </w:rPr>
        <w:footnoteReference w:id="117"/>
      </w:r>
      <w:r w:rsidR="009F0242" w:rsidRPr="00B00223">
        <w:rPr>
          <w:color w:val="000000"/>
        </w:rPr>
        <w:t xml:space="preserve"> The amount of oxen, that were presumably loaned to Pasquas band, would not have been sufficient for farming, highlighting the inadequacy of treaty provisions.</w:t>
      </w:r>
      <w:r w:rsidR="001360E4">
        <w:rPr>
          <w:rStyle w:val="FootnoteReference"/>
          <w:color w:val="000000"/>
        </w:rPr>
        <w:footnoteReference w:id="118"/>
      </w:r>
      <w:r w:rsidR="009F0242" w:rsidRPr="00B00223">
        <w:rPr>
          <w:color w:val="000000"/>
        </w:rPr>
        <w:t xml:space="preserve"> </w:t>
      </w:r>
      <w:r w:rsidR="009F0242">
        <w:rPr>
          <w:color w:val="000000"/>
        </w:rPr>
        <w:t>In addition, t</w:t>
      </w:r>
      <w:r w:rsidR="009F0242" w:rsidRPr="00B00223">
        <w:rPr>
          <w:color w:val="000000"/>
        </w:rPr>
        <w:t>he quality of horses given to the bands w</w:t>
      </w:r>
      <w:r w:rsidR="00D04E9E">
        <w:rPr>
          <w:color w:val="000000"/>
        </w:rPr>
        <w:t>as</w:t>
      </w:r>
      <w:r w:rsidR="00DF6361">
        <w:rPr>
          <w:color w:val="000000"/>
        </w:rPr>
        <w:t xml:space="preserve"> </w:t>
      </w:r>
      <w:r w:rsidR="009F0242" w:rsidRPr="00B00223">
        <w:rPr>
          <w:color w:val="000000"/>
        </w:rPr>
        <w:t>inadequate for agricultural purposes, as many were cart horses</w:t>
      </w:r>
      <w:r w:rsidR="001360E4">
        <w:rPr>
          <w:color w:val="000000"/>
        </w:rPr>
        <w:t>.</w:t>
      </w:r>
      <w:r w:rsidR="001360E4">
        <w:rPr>
          <w:rStyle w:val="FootnoteReference"/>
          <w:color w:val="000000"/>
        </w:rPr>
        <w:footnoteReference w:id="119"/>
      </w:r>
      <w:r w:rsidR="009F0242" w:rsidRPr="00B00223">
        <w:rPr>
          <w:color w:val="000000"/>
        </w:rPr>
        <w:t xml:space="preserve"> </w:t>
      </w:r>
    </w:p>
    <w:p w14:paraId="32C78C68" w14:textId="7085828B" w:rsidR="009F0242" w:rsidRDefault="00D04E9E" w:rsidP="009B425D">
      <w:pPr>
        <w:spacing w:line="480" w:lineRule="auto"/>
        <w:ind w:firstLine="720"/>
        <w:textAlignment w:val="baseline"/>
        <w:rPr>
          <w:color w:val="000000"/>
        </w:rPr>
      </w:pPr>
      <w:r>
        <w:rPr>
          <w:color w:val="000000"/>
        </w:rPr>
        <w:t>In 1882</w:t>
      </w:r>
      <w:r w:rsidR="006274E2">
        <w:rPr>
          <w:color w:val="000000"/>
        </w:rPr>
        <w:t>,</w:t>
      </w:r>
      <w:r>
        <w:rPr>
          <w:color w:val="000000"/>
        </w:rPr>
        <w:t xml:space="preserve"> </w:t>
      </w:r>
      <w:r w:rsidR="009F0242" w:rsidRPr="00B00223">
        <w:rPr>
          <w:color w:val="000000"/>
        </w:rPr>
        <w:t xml:space="preserve">39 acres of land were broken, with 88 acres under crop and 135 tons of hay cut. The band previously had 50 acres under crop, which highlights their </w:t>
      </w:r>
      <w:r>
        <w:rPr>
          <w:color w:val="000000"/>
        </w:rPr>
        <w:t>progress</w:t>
      </w:r>
      <w:r w:rsidR="009F0242" w:rsidRPr="00B00223">
        <w:rPr>
          <w:color w:val="000000"/>
        </w:rPr>
        <w:t xml:space="preserve">. In addition, it was recorded that 140 acres of their reserve was fenced. The band was successful in cultivating 64 acres of wheat, 1 acre of oats, 5 acres of barely, 10 acres of potatoes, 2 acres of turnips, 1 acre of carrots, 4 acres of corn and 5 acres </w:t>
      </w:r>
      <w:r>
        <w:rPr>
          <w:color w:val="000000"/>
        </w:rPr>
        <w:t xml:space="preserve">that were </w:t>
      </w:r>
      <w:r w:rsidR="009F0242" w:rsidRPr="00B00223">
        <w:rPr>
          <w:color w:val="000000"/>
        </w:rPr>
        <w:t>dedicated to a garden. From these crops the band harvested 1000 bushels of wheat, 25 bushels of oats, 100 bushels of barley 700 bushels of potatoes and 60 bushels of turnips.</w:t>
      </w:r>
      <w:r w:rsidR="001360E4">
        <w:rPr>
          <w:rStyle w:val="FootnoteReference"/>
          <w:color w:val="000000"/>
        </w:rPr>
        <w:footnoteReference w:id="120"/>
      </w:r>
      <w:r w:rsidR="001360E4">
        <w:rPr>
          <w:color w:val="000000"/>
        </w:rPr>
        <w:t xml:space="preserve"> </w:t>
      </w:r>
      <w:r w:rsidR="009F0242" w:rsidRPr="00B00223">
        <w:rPr>
          <w:color w:val="000000"/>
        </w:rPr>
        <w:t xml:space="preserve">Rains in the Qu’Appelle area lead to the destruction of the community's bridge, which indicates that transport, and thus </w:t>
      </w:r>
      <w:r w:rsidR="009F0242">
        <w:rPr>
          <w:color w:val="000000"/>
        </w:rPr>
        <w:t xml:space="preserve">the distribution of </w:t>
      </w:r>
      <w:r w:rsidR="009F0242" w:rsidRPr="00B00223">
        <w:rPr>
          <w:color w:val="000000"/>
        </w:rPr>
        <w:t>supplies, would have been affected. In addition, this weather could imply that there were challenges associated in the growth of crops.</w:t>
      </w:r>
      <w:r w:rsidR="001360E4">
        <w:rPr>
          <w:rStyle w:val="FootnoteReference"/>
          <w:color w:val="000000"/>
        </w:rPr>
        <w:footnoteReference w:id="121"/>
      </w:r>
      <w:r w:rsidR="009F0242" w:rsidRPr="00B00223">
        <w:rPr>
          <w:color w:val="000000"/>
        </w:rPr>
        <w:t xml:space="preserve"> </w:t>
      </w:r>
    </w:p>
    <w:p w14:paraId="51DEAEA7" w14:textId="483CD5A2" w:rsidR="006C15D6" w:rsidRPr="00B00223" w:rsidRDefault="008E179C" w:rsidP="006C15D6">
      <w:pPr>
        <w:spacing w:line="480" w:lineRule="auto"/>
        <w:textAlignment w:val="baseline"/>
        <w:rPr>
          <w:color w:val="000000"/>
        </w:rPr>
      </w:pPr>
      <w:r w:rsidRPr="00C517CD">
        <w:rPr>
          <w:b/>
        </w:rPr>
        <w:lastRenderedPageBreak/>
        <w:t>3) 1883-84.</w:t>
      </w:r>
      <w:r w:rsidR="00B00223" w:rsidRPr="00C517CD">
        <w:rPr>
          <w:b/>
        </w:rPr>
        <w:t xml:space="preserve">  </w:t>
      </w:r>
      <w:r w:rsidR="006C15D6" w:rsidRPr="00B00223">
        <w:rPr>
          <w:color w:val="000000"/>
        </w:rPr>
        <w:t>In a</w:t>
      </w:r>
      <w:r w:rsidR="006C15D6">
        <w:rPr>
          <w:color w:val="000000"/>
        </w:rPr>
        <w:t xml:space="preserve">n </w:t>
      </w:r>
      <w:r w:rsidR="006C15D6" w:rsidRPr="00B00223">
        <w:rPr>
          <w:color w:val="000000"/>
        </w:rPr>
        <w:t xml:space="preserve">1883 report it was recorded that there </w:t>
      </w:r>
      <w:r w:rsidR="006C15D6">
        <w:rPr>
          <w:color w:val="000000"/>
        </w:rPr>
        <w:t>were</w:t>
      </w:r>
      <w:r w:rsidR="006C15D6" w:rsidRPr="00B00223">
        <w:rPr>
          <w:color w:val="000000"/>
        </w:rPr>
        <w:t xml:space="preserve"> 290 members present on Pasquas reserve</w:t>
      </w:r>
      <w:r w:rsidR="006C15D6">
        <w:rPr>
          <w:color w:val="000000"/>
        </w:rPr>
        <w:t xml:space="preserve">, along with </w:t>
      </w:r>
      <w:r w:rsidR="006C15D6" w:rsidRPr="00B00223">
        <w:rPr>
          <w:color w:val="000000"/>
        </w:rPr>
        <w:t>18 horses and 20 oxen.</w:t>
      </w:r>
      <w:r w:rsidR="001360E4">
        <w:rPr>
          <w:rStyle w:val="FootnoteReference"/>
          <w:color w:val="000000"/>
        </w:rPr>
        <w:footnoteReference w:id="122"/>
      </w:r>
      <w:r w:rsidR="00D04E9E">
        <w:rPr>
          <w:color w:val="000000"/>
        </w:rPr>
        <w:t xml:space="preserve"> </w:t>
      </w:r>
      <w:r w:rsidR="006C15D6" w:rsidRPr="00B00223">
        <w:rPr>
          <w:color w:val="000000"/>
        </w:rPr>
        <w:t>Wadsworth report</w:t>
      </w:r>
      <w:r w:rsidR="006C15D6">
        <w:rPr>
          <w:color w:val="000000"/>
        </w:rPr>
        <w:t>ed</w:t>
      </w:r>
      <w:r w:rsidR="006C15D6" w:rsidRPr="00B00223">
        <w:rPr>
          <w:color w:val="000000"/>
        </w:rPr>
        <w:t xml:space="preserve"> that there were 36 families on this reserve, each of which</w:t>
      </w:r>
      <w:r w:rsidR="006C15D6">
        <w:rPr>
          <w:color w:val="000000"/>
        </w:rPr>
        <w:t xml:space="preserve"> were</w:t>
      </w:r>
      <w:r w:rsidR="006C15D6" w:rsidRPr="00B00223">
        <w:rPr>
          <w:color w:val="000000"/>
        </w:rPr>
        <w:t xml:space="preserve"> growing crops and had between 2 to 10 acres of land. In addition, it </w:t>
      </w:r>
      <w:r w:rsidR="00D04E9E">
        <w:rPr>
          <w:color w:val="000000"/>
        </w:rPr>
        <w:t>was</w:t>
      </w:r>
      <w:r w:rsidR="006C15D6" w:rsidRPr="00B00223">
        <w:rPr>
          <w:color w:val="000000"/>
        </w:rPr>
        <w:t xml:space="preserve"> recorded that 160 acres were fenced</w:t>
      </w:r>
      <w:r w:rsidR="006C15D6">
        <w:rPr>
          <w:color w:val="000000"/>
        </w:rPr>
        <w:t xml:space="preserve">. </w:t>
      </w:r>
      <w:r w:rsidR="006C15D6" w:rsidRPr="00B00223">
        <w:rPr>
          <w:color w:val="000000"/>
        </w:rPr>
        <w:t>However, this information is contrasted by a report on Farming Agencies and Indian reservations for the same year</w:t>
      </w:r>
      <w:r w:rsidR="006C15D6">
        <w:rPr>
          <w:color w:val="000000"/>
        </w:rPr>
        <w:t xml:space="preserve">, as it is stated that 200 acres were fenced. </w:t>
      </w:r>
      <w:r w:rsidR="006C15D6" w:rsidRPr="00B00223">
        <w:rPr>
          <w:color w:val="000000"/>
        </w:rPr>
        <w:t>155 acres h</w:t>
      </w:r>
      <w:r w:rsidR="006C15D6">
        <w:rPr>
          <w:color w:val="000000"/>
        </w:rPr>
        <w:t>ad</w:t>
      </w:r>
      <w:r w:rsidR="006C15D6" w:rsidRPr="00B00223">
        <w:rPr>
          <w:color w:val="000000"/>
        </w:rPr>
        <w:t xml:space="preserve"> been broken,</w:t>
      </w:r>
      <w:r w:rsidR="006C15D6">
        <w:rPr>
          <w:color w:val="000000"/>
        </w:rPr>
        <w:t xml:space="preserve"> and </w:t>
      </w:r>
      <w:r w:rsidR="006C15D6" w:rsidRPr="00B00223">
        <w:rPr>
          <w:color w:val="000000"/>
        </w:rPr>
        <w:t xml:space="preserve">127 were under crop in 1882 and 88 in 1883. It </w:t>
      </w:r>
      <w:r w:rsidR="006C15D6">
        <w:rPr>
          <w:color w:val="000000"/>
        </w:rPr>
        <w:t>wa</w:t>
      </w:r>
      <w:r w:rsidR="006C15D6" w:rsidRPr="00B00223">
        <w:rPr>
          <w:color w:val="000000"/>
        </w:rPr>
        <w:t xml:space="preserve">s recorded that Pasquas band </w:t>
      </w:r>
      <w:r w:rsidR="006C15D6">
        <w:rPr>
          <w:color w:val="000000"/>
        </w:rPr>
        <w:t xml:space="preserve">had </w:t>
      </w:r>
      <w:r w:rsidR="006C15D6" w:rsidRPr="00B00223">
        <w:rPr>
          <w:color w:val="000000"/>
        </w:rPr>
        <w:t>purchased 1 mower and 1 rake</w:t>
      </w:r>
      <w:r w:rsidR="006C15D6">
        <w:rPr>
          <w:color w:val="000000"/>
        </w:rPr>
        <w:t xml:space="preserve"> and were </w:t>
      </w:r>
      <w:r w:rsidR="006C15D6" w:rsidRPr="00B00223">
        <w:rPr>
          <w:color w:val="000000"/>
        </w:rPr>
        <w:t>putting them to good use by farming enough supply of hay to sustain themselves, as well as to sell for a profit.</w:t>
      </w:r>
      <w:r w:rsidR="001360E4">
        <w:rPr>
          <w:rStyle w:val="FootnoteReference"/>
          <w:color w:val="000000"/>
        </w:rPr>
        <w:footnoteReference w:id="123"/>
      </w:r>
      <w:r w:rsidR="006C15D6" w:rsidRPr="00B00223">
        <w:rPr>
          <w:color w:val="000000"/>
        </w:rPr>
        <w:t xml:space="preserve"> Out of their crops</w:t>
      </w:r>
      <w:r w:rsidR="006C15D6">
        <w:rPr>
          <w:color w:val="000000"/>
        </w:rPr>
        <w:t xml:space="preserve"> the band harvested </w:t>
      </w:r>
      <w:r w:rsidR="006C15D6" w:rsidRPr="00B00223">
        <w:rPr>
          <w:color w:val="000000"/>
        </w:rPr>
        <w:t xml:space="preserve">150 tons of hay, 700 bushels of wheat (from 64 acres), 50 bushels of oats (from 5 acres), 525 bushels of barely (from 35 acres), 800 bushels of potatoes (from 10 acres), 150 bushels of turnips (from 6 acres), 80 bushels of carrots- gained from source #9 (from 2 acres) and </w:t>
      </w:r>
      <w:r w:rsidR="006C15D6">
        <w:rPr>
          <w:color w:val="000000"/>
        </w:rPr>
        <w:t xml:space="preserve">had </w:t>
      </w:r>
      <w:r w:rsidR="006C15D6" w:rsidRPr="00B00223">
        <w:rPr>
          <w:color w:val="000000"/>
        </w:rPr>
        <w:t xml:space="preserve">5 acres dedicated </w:t>
      </w:r>
      <w:r w:rsidR="006C15D6">
        <w:rPr>
          <w:color w:val="000000"/>
        </w:rPr>
        <w:t>to</w:t>
      </w:r>
      <w:r w:rsidR="006C15D6" w:rsidRPr="00B00223">
        <w:rPr>
          <w:color w:val="000000"/>
        </w:rPr>
        <w:t xml:space="preserve"> a garden.</w:t>
      </w:r>
      <w:r w:rsidR="001360E4">
        <w:rPr>
          <w:rStyle w:val="FootnoteReference"/>
          <w:color w:val="000000"/>
        </w:rPr>
        <w:footnoteReference w:id="124"/>
      </w:r>
      <w:r w:rsidR="006C15D6" w:rsidRPr="00B00223">
        <w:rPr>
          <w:color w:val="000000"/>
        </w:rPr>
        <w:t xml:space="preserve"> </w:t>
      </w:r>
      <w:r w:rsidR="006C15D6">
        <w:rPr>
          <w:color w:val="000000"/>
        </w:rPr>
        <w:t>T</w:t>
      </w:r>
      <w:r w:rsidR="006C15D6" w:rsidRPr="00B00223">
        <w:rPr>
          <w:color w:val="000000"/>
        </w:rPr>
        <w:t>here were 26 dwellings and 11 stables present on their reserve at this time, as well as 105 acres of old land.</w:t>
      </w:r>
      <w:r w:rsidR="001360E4">
        <w:rPr>
          <w:rStyle w:val="FootnoteReference"/>
          <w:color w:val="000000"/>
        </w:rPr>
        <w:footnoteReference w:id="125"/>
      </w:r>
      <w:r w:rsidR="006C15D6" w:rsidRPr="00B00223">
        <w:rPr>
          <w:color w:val="000000"/>
        </w:rPr>
        <w:t> </w:t>
      </w:r>
      <w:r w:rsidR="006C15D6">
        <w:rPr>
          <w:color w:val="000000"/>
        </w:rPr>
        <w:t>This report shows a slight increase in the amount of buildings present on Pasquas reserve than what was reported in 1881</w:t>
      </w:r>
      <w:r w:rsidR="00D04E9E">
        <w:rPr>
          <w:color w:val="000000"/>
        </w:rPr>
        <w:t>-2</w:t>
      </w:r>
      <w:r w:rsidR="006C15D6">
        <w:rPr>
          <w:color w:val="000000"/>
        </w:rPr>
        <w:t xml:space="preserve">. </w:t>
      </w:r>
      <w:r w:rsidR="00DF6361" w:rsidRPr="00B00223">
        <w:rPr>
          <w:color w:val="000000"/>
        </w:rPr>
        <w:t xml:space="preserve">1883 was the first year that the Treaty 4 agency was thoroughly inspected. Instructors were still present on </w:t>
      </w:r>
      <w:r w:rsidR="00DF6361">
        <w:rPr>
          <w:color w:val="000000"/>
        </w:rPr>
        <w:t xml:space="preserve">the </w:t>
      </w:r>
      <w:r w:rsidR="00DF6361" w:rsidRPr="00B00223">
        <w:rPr>
          <w:color w:val="000000"/>
        </w:rPr>
        <w:t>reserves</w:t>
      </w:r>
      <w:r w:rsidR="00DF6361">
        <w:rPr>
          <w:color w:val="000000"/>
        </w:rPr>
        <w:t xml:space="preserve"> </w:t>
      </w:r>
      <w:r w:rsidR="00DF6361" w:rsidRPr="00B00223">
        <w:rPr>
          <w:color w:val="000000"/>
        </w:rPr>
        <w:t xml:space="preserve">at this time to ensure that work was </w:t>
      </w:r>
      <w:r w:rsidR="00D04E9E" w:rsidRPr="00B00223">
        <w:rPr>
          <w:color w:val="000000"/>
        </w:rPr>
        <w:t>completed,</w:t>
      </w:r>
      <w:r w:rsidR="00DF6361">
        <w:rPr>
          <w:color w:val="000000"/>
        </w:rPr>
        <w:t xml:space="preserve"> </w:t>
      </w:r>
      <w:r w:rsidR="00DF6361" w:rsidRPr="00B00223">
        <w:rPr>
          <w:color w:val="000000"/>
        </w:rPr>
        <w:t xml:space="preserve">and </w:t>
      </w:r>
      <w:r w:rsidR="00DF6361">
        <w:rPr>
          <w:color w:val="000000"/>
        </w:rPr>
        <w:t xml:space="preserve">that </w:t>
      </w:r>
      <w:r w:rsidR="00DF6361" w:rsidRPr="00B00223">
        <w:rPr>
          <w:color w:val="000000"/>
        </w:rPr>
        <w:t>assistance was given when needed.</w:t>
      </w:r>
      <w:r w:rsidR="001360E4">
        <w:rPr>
          <w:rStyle w:val="FootnoteReference"/>
          <w:color w:val="000000"/>
        </w:rPr>
        <w:footnoteReference w:id="126"/>
      </w:r>
      <w:r w:rsidR="00DF6361" w:rsidRPr="00B00223">
        <w:rPr>
          <w:color w:val="000000"/>
        </w:rPr>
        <w:t xml:space="preserve">  </w:t>
      </w:r>
    </w:p>
    <w:p w14:paraId="3D6E0570" w14:textId="201B965A" w:rsidR="009B425D" w:rsidRDefault="00DF6361" w:rsidP="00DF6361">
      <w:pPr>
        <w:spacing w:line="480" w:lineRule="auto"/>
        <w:ind w:firstLine="720"/>
        <w:textAlignment w:val="baseline"/>
        <w:rPr>
          <w:color w:val="000000"/>
        </w:rPr>
      </w:pPr>
      <w:r>
        <w:rPr>
          <w:color w:val="000000"/>
        </w:rPr>
        <w:lastRenderedPageBreak/>
        <w:t xml:space="preserve">In </w:t>
      </w:r>
      <w:r w:rsidR="00D04E9E">
        <w:rPr>
          <w:color w:val="000000"/>
        </w:rPr>
        <w:t xml:space="preserve">A. </w:t>
      </w:r>
      <w:r w:rsidR="006274E2" w:rsidRPr="00B00223">
        <w:rPr>
          <w:color w:val="000000"/>
        </w:rPr>
        <w:t>Macdonald</w:t>
      </w:r>
      <w:r w:rsidR="006274E2">
        <w:rPr>
          <w:color w:val="000000"/>
        </w:rPr>
        <w:t>’s</w:t>
      </w:r>
      <w:r>
        <w:rPr>
          <w:color w:val="000000"/>
        </w:rPr>
        <w:t xml:space="preserve"> annual report, dated July 6</w:t>
      </w:r>
      <w:proofErr w:type="gramStart"/>
      <w:r>
        <w:rPr>
          <w:color w:val="000000"/>
        </w:rPr>
        <w:t xml:space="preserve"> 1883</w:t>
      </w:r>
      <w:proofErr w:type="gramEnd"/>
      <w:r>
        <w:rPr>
          <w:color w:val="000000"/>
        </w:rPr>
        <w:t>, he</w:t>
      </w:r>
      <w:r w:rsidRPr="00B00223">
        <w:rPr>
          <w:color w:val="000000"/>
        </w:rPr>
        <w:t xml:space="preserve"> </w:t>
      </w:r>
      <w:r>
        <w:rPr>
          <w:color w:val="000000"/>
        </w:rPr>
        <w:t>expresse</w:t>
      </w:r>
      <w:r w:rsidR="006274E2">
        <w:rPr>
          <w:color w:val="000000"/>
        </w:rPr>
        <w:t>s</w:t>
      </w:r>
      <w:r>
        <w:rPr>
          <w:color w:val="000000"/>
        </w:rPr>
        <w:t xml:space="preserve"> that there</w:t>
      </w:r>
      <w:r w:rsidRPr="00B00223">
        <w:rPr>
          <w:color w:val="000000"/>
        </w:rPr>
        <w:t xml:space="preserve"> </w:t>
      </w:r>
      <w:r>
        <w:rPr>
          <w:color w:val="000000"/>
        </w:rPr>
        <w:t>was a notable</w:t>
      </w:r>
      <w:r w:rsidRPr="00B00223">
        <w:rPr>
          <w:color w:val="000000"/>
        </w:rPr>
        <w:t xml:space="preserve"> depletion of big game, namely moose, throughout the area of Treaty 4</w:t>
      </w:r>
      <w:r>
        <w:rPr>
          <w:color w:val="000000"/>
        </w:rPr>
        <w:t>. He</w:t>
      </w:r>
      <w:r w:rsidRPr="00B00223">
        <w:rPr>
          <w:color w:val="000000"/>
        </w:rPr>
        <w:t xml:space="preserve"> further stat</w:t>
      </w:r>
      <w:r>
        <w:rPr>
          <w:color w:val="000000"/>
        </w:rPr>
        <w:t>ed</w:t>
      </w:r>
      <w:r w:rsidRPr="00B00223">
        <w:rPr>
          <w:color w:val="000000"/>
        </w:rPr>
        <w:t xml:space="preserve"> that in certain seasons jack fish suppli</w:t>
      </w:r>
      <w:r>
        <w:rPr>
          <w:color w:val="000000"/>
        </w:rPr>
        <w:t>ed</w:t>
      </w:r>
      <w:r w:rsidRPr="00B00223">
        <w:rPr>
          <w:color w:val="000000"/>
        </w:rPr>
        <w:t xml:space="preserve"> bands with food. </w:t>
      </w:r>
      <w:r w:rsidR="009B425D" w:rsidRPr="00B00223">
        <w:rPr>
          <w:color w:val="000000"/>
        </w:rPr>
        <w:t>Macdonald acknowledge</w:t>
      </w:r>
      <w:r>
        <w:rPr>
          <w:color w:val="000000"/>
        </w:rPr>
        <w:t>d</w:t>
      </w:r>
      <w:r w:rsidR="009B425D" w:rsidRPr="00B00223">
        <w:rPr>
          <w:color w:val="000000"/>
        </w:rPr>
        <w:t xml:space="preserve"> that the changes demanded by the government at the signing of </w:t>
      </w:r>
      <w:r w:rsidR="009B425D">
        <w:rPr>
          <w:color w:val="000000"/>
        </w:rPr>
        <w:t>T</w:t>
      </w:r>
      <w:r w:rsidR="009B425D" w:rsidRPr="00B00223">
        <w:rPr>
          <w:color w:val="000000"/>
        </w:rPr>
        <w:t xml:space="preserve">reaty </w:t>
      </w:r>
      <w:r w:rsidR="009B425D">
        <w:rPr>
          <w:color w:val="000000"/>
        </w:rPr>
        <w:t xml:space="preserve">4 </w:t>
      </w:r>
      <w:r w:rsidR="009B425D" w:rsidRPr="00B00223">
        <w:rPr>
          <w:color w:val="000000"/>
        </w:rPr>
        <w:t xml:space="preserve">were sudden and contrasted </w:t>
      </w:r>
      <w:r w:rsidR="009B425D">
        <w:rPr>
          <w:color w:val="000000"/>
        </w:rPr>
        <w:t xml:space="preserve">bands </w:t>
      </w:r>
      <w:r w:rsidR="009B425D" w:rsidRPr="00B00223">
        <w:rPr>
          <w:color w:val="000000"/>
        </w:rPr>
        <w:t xml:space="preserve">previous ways of life. </w:t>
      </w:r>
      <w:r w:rsidR="009B425D">
        <w:rPr>
          <w:color w:val="000000"/>
        </w:rPr>
        <w:t>However, in his</w:t>
      </w:r>
      <w:r w:rsidR="006C15D6" w:rsidRPr="00B00223">
        <w:rPr>
          <w:color w:val="000000"/>
        </w:rPr>
        <w:t xml:space="preserve"> annual report </w:t>
      </w:r>
      <w:r w:rsidR="009B425D">
        <w:rPr>
          <w:color w:val="000000"/>
        </w:rPr>
        <w:t xml:space="preserve">he stated that </w:t>
      </w:r>
      <w:r w:rsidR="006C15D6" w:rsidRPr="00B00223">
        <w:rPr>
          <w:color w:val="000000"/>
        </w:rPr>
        <w:t>many reserves ha</w:t>
      </w:r>
      <w:r w:rsidR="006C15D6">
        <w:rPr>
          <w:color w:val="000000"/>
        </w:rPr>
        <w:t>d</w:t>
      </w:r>
      <w:r w:rsidR="006C15D6" w:rsidRPr="00B00223">
        <w:rPr>
          <w:color w:val="000000"/>
        </w:rPr>
        <w:t xml:space="preserve"> seen success in their crops and </w:t>
      </w:r>
      <w:r w:rsidR="006C15D6">
        <w:rPr>
          <w:color w:val="000000"/>
        </w:rPr>
        <w:t>were</w:t>
      </w:r>
      <w:r w:rsidR="006C15D6" w:rsidRPr="00B00223">
        <w:rPr>
          <w:color w:val="000000"/>
        </w:rPr>
        <w:t xml:space="preserve"> will</w:t>
      </w:r>
      <w:r w:rsidR="006C15D6">
        <w:rPr>
          <w:color w:val="000000"/>
        </w:rPr>
        <w:t>ingly</w:t>
      </w:r>
      <w:r w:rsidR="006C15D6" w:rsidRPr="00B00223">
        <w:rPr>
          <w:color w:val="000000"/>
        </w:rPr>
        <w:t xml:space="preserve"> learning how to complete </w:t>
      </w:r>
      <w:r w:rsidR="006C15D6">
        <w:rPr>
          <w:color w:val="000000"/>
        </w:rPr>
        <w:t xml:space="preserve">farming </w:t>
      </w:r>
      <w:r w:rsidR="006C15D6" w:rsidRPr="00B00223">
        <w:rPr>
          <w:color w:val="000000"/>
        </w:rPr>
        <w:t>processes on their own.</w:t>
      </w:r>
      <w:r w:rsidR="001360E4" w:rsidRPr="001360E4">
        <w:rPr>
          <w:rStyle w:val="FootnoteReference"/>
          <w:color w:val="000000"/>
        </w:rPr>
        <w:t xml:space="preserve"> </w:t>
      </w:r>
      <w:r w:rsidR="001360E4">
        <w:rPr>
          <w:rStyle w:val="FootnoteReference"/>
          <w:color w:val="000000"/>
        </w:rPr>
        <w:footnoteReference w:id="127"/>
      </w:r>
      <w:r w:rsidR="006C15D6" w:rsidRPr="00B00223">
        <w:rPr>
          <w:color w:val="000000"/>
        </w:rPr>
        <w:t xml:space="preserve"> Although he acknowledge</w:t>
      </w:r>
      <w:r w:rsidR="006C15D6">
        <w:rPr>
          <w:color w:val="000000"/>
        </w:rPr>
        <w:t>d</w:t>
      </w:r>
      <w:r w:rsidR="006C15D6" w:rsidRPr="00B00223">
        <w:rPr>
          <w:color w:val="000000"/>
        </w:rPr>
        <w:t xml:space="preserve"> that a number of families </w:t>
      </w:r>
      <w:r w:rsidR="006C15D6">
        <w:rPr>
          <w:color w:val="000000"/>
        </w:rPr>
        <w:t>in</w:t>
      </w:r>
      <w:r w:rsidR="006C15D6" w:rsidRPr="00B00223">
        <w:rPr>
          <w:color w:val="000000"/>
        </w:rPr>
        <w:t xml:space="preserve"> Pasquas band </w:t>
      </w:r>
      <w:r w:rsidR="006C15D6">
        <w:rPr>
          <w:color w:val="000000"/>
        </w:rPr>
        <w:t>were</w:t>
      </w:r>
      <w:r w:rsidR="006C15D6" w:rsidRPr="00B00223">
        <w:rPr>
          <w:color w:val="000000"/>
        </w:rPr>
        <w:t xml:space="preserve"> doing well, </w:t>
      </w:r>
      <w:r w:rsidR="006C15D6">
        <w:rPr>
          <w:color w:val="000000"/>
        </w:rPr>
        <w:t xml:space="preserve">having purchased </w:t>
      </w:r>
      <w:r>
        <w:rPr>
          <w:color w:val="000000"/>
        </w:rPr>
        <w:t>their own</w:t>
      </w:r>
      <w:r w:rsidR="006C15D6">
        <w:rPr>
          <w:color w:val="000000"/>
        </w:rPr>
        <w:t xml:space="preserve"> </w:t>
      </w:r>
      <w:r w:rsidR="009B425D">
        <w:rPr>
          <w:color w:val="000000"/>
        </w:rPr>
        <w:t>y</w:t>
      </w:r>
      <w:r w:rsidR="006C15D6">
        <w:rPr>
          <w:color w:val="000000"/>
        </w:rPr>
        <w:t>oke of oxen</w:t>
      </w:r>
      <w:r w:rsidR="006C15D6" w:rsidRPr="00B00223">
        <w:rPr>
          <w:color w:val="000000"/>
        </w:rPr>
        <w:t xml:space="preserve">, </w:t>
      </w:r>
      <w:r w:rsidR="009B425D">
        <w:rPr>
          <w:color w:val="000000"/>
        </w:rPr>
        <w:t xml:space="preserve">he, and thus </w:t>
      </w:r>
      <w:r w:rsidR="006C15D6" w:rsidRPr="00B00223">
        <w:rPr>
          <w:color w:val="000000"/>
        </w:rPr>
        <w:t>the government</w:t>
      </w:r>
      <w:r w:rsidR="009B425D">
        <w:rPr>
          <w:color w:val="000000"/>
        </w:rPr>
        <w:t>,</w:t>
      </w:r>
      <w:r w:rsidR="006C15D6" w:rsidRPr="00B00223">
        <w:rPr>
          <w:color w:val="000000"/>
        </w:rPr>
        <w:t xml:space="preserve"> view</w:t>
      </w:r>
      <w:r w:rsidR="006C15D6">
        <w:rPr>
          <w:color w:val="000000"/>
        </w:rPr>
        <w:t>ed the</w:t>
      </w:r>
      <w:r w:rsidR="00D04E9E">
        <w:rPr>
          <w:color w:val="000000"/>
        </w:rPr>
        <w:t>ir</w:t>
      </w:r>
      <w:r w:rsidR="006C15D6">
        <w:rPr>
          <w:color w:val="000000"/>
        </w:rPr>
        <w:t xml:space="preserve"> chief as an unfit leader. </w:t>
      </w:r>
      <w:r w:rsidR="006C15D6" w:rsidRPr="00B00223">
        <w:rPr>
          <w:color w:val="000000"/>
        </w:rPr>
        <w:t>Macdonald claim</w:t>
      </w:r>
      <w:r w:rsidR="006C15D6">
        <w:rPr>
          <w:color w:val="000000"/>
        </w:rPr>
        <w:t>ed</w:t>
      </w:r>
      <w:r w:rsidR="006C15D6" w:rsidRPr="00B00223">
        <w:rPr>
          <w:color w:val="000000"/>
        </w:rPr>
        <w:t xml:space="preserve"> that</w:t>
      </w:r>
      <w:r w:rsidR="006274E2">
        <w:rPr>
          <w:color w:val="000000"/>
        </w:rPr>
        <w:t xml:space="preserve"> C</w:t>
      </w:r>
      <w:r w:rsidR="006C15D6" w:rsidRPr="00B00223">
        <w:rPr>
          <w:color w:val="000000"/>
        </w:rPr>
        <w:t xml:space="preserve">hief </w:t>
      </w:r>
      <w:r w:rsidR="006274E2">
        <w:rPr>
          <w:color w:val="000000"/>
        </w:rPr>
        <w:t xml:space="preserve">Pasqua </w:t>
      </w:r>
      <w:r w:rsidR="006C15D6">
        <w:rPr>
          <w:color w:val="000000"/>
        </w:rPr>
        <w:t>wa</w:t>
      </w:r>
      <w:r w:rsidR="006C15D6" w:rsidRPr="00B00223">
        <w:rPr>
          <w:color w:val="000000"/>
        </w:rPr>
        <w:t xml:space="preserve">s “constantly asking for help” and that the members of his band </w:t>
      </w:r>
      <w:r w:rsidR="006C15D6">
        <w:rPr>
          <w:color w:val="000000"/>
        </w:rPr>
        <w:t>had</w:t>
      </w:r>
      <w:r w:rsidR="006C15D6" w:rsidRPr="00B00223">
        <w:rPr>
          <w:color w:val="000000"/>
        </w:rPr>
        <w:t xml:space="preserve"> </w:t>
      </w:r>
      <w:r w:rsidR="006C15D6">
        <w:rPr>
          <w:color w:val="000000"/>
        </w:rPr>
        <w:t>“</w:t>
      </w:r>
      <w:r w:rsidR="006C15D6" w:rsidRPr="00B00223">
        <w:rPr>
          <w:color w:val="000000"/>
        </w:rPr>
        <w:t>become ashamed of him.”</w:t>
      </w:r>
      <w:r w:rsidR="001360E4">
        <w:rPr>
          <w:rStyle w:val="FootnoteReference"/>
          <w:color w:val="000000"/>
        </w:rPr>
        <w:footnoteReference w:id="128"/>
      </w:r>
      <w:r w:rsidR="001360E4" w:rsidRPr="00B00223">
        <w:rPr>
          <w:color w:val="000000"/>
        </w:rPr>
        <w:t xml:space="preserve"> </w:t>
      </w:r>
      <w:r w:rsidR="006C15D6" w:rsidRPr="00B00223">
        <w:rPr>
          <w:color w:val="000000"/>
        </w:rPr>
        <w:t xml:space="preserve"> It is unclear whether these feelings were truly held among band members, or if </w:t>
      </w:r>
      <w:r w:rsidR="006C15D6">
        <w:rPr>
          <w:color w:val="000000"/>
        </w:rPr>
        <w:t>it</w:t>
      </w:r>
      <w:r w:rsidR="006C15D6" w:rsidRPr="00B00223">
        <w:rPr>
          <w:color w:val="000000"/>
        </w:rPr>
        <w:t xml:space="preserve"> was </w:t>
      </w:r>
      <w:r w:rsidR="006C15D6">
        <w:rPr>
          <w:color w:val="000000"/>
        </w:rPr>
        <w:t xml:space="preserve">just </w:t>
      </w:r>
      <w:r w:rsidR="006C15D6" w:rsidRPr="00B00223">
        <w:rPr>
          <w:color w:val="000000"/>
        </w:rPr>
        <w:t>a method used by Macdonald to continue on the colonial narrative</w:t>
      </w:r>
      <w:r w:rsidR="006C15D6">
        <w:rPr>
          <w:color w:val="000000"/>
        </w:rPr>
        <w:t xml:space="preserve"> and devalue chiefs that were viewed as a threat/problem to the growth of the nation</w:t>
      </w:r>
      <w:r w:rsidR="001360E4">
        <w:rPr>
          <w:color w:val="000000"/>
        </w:rPr>
        <w:t>.</w:t>
      </w:r>
      <w:r w:rsidR="006C15D6">
        <w:rPr>
          <w:color w:val="000000"/>
        </w:rPr>
        <w:t xml:space="preserve"> </w:t>
      </w:r>
      <w:r w:rsidR="00B00223" w:rsidRPr="00C517CD">
        <w:rPr>
          <w:color w:val="000000"/>
        </w:rPr>
        <w:t xml:space="preserve">The government constantly searched for ways to cut their expenditures in regard to </w:t>
      </w:r>
      <w:r w:rsidR="009B425D">
        <w:rPr>
          <w:color w:val="000000"/>
        </w:rPr>
        <w:t>t</w:t>
      </w:r>
      <w:r w:rsidR="00B00223" w:rsidRPr="00C517CD">
        <w:rPr>
          <w:color w:val="000000"/>
        </w:rPr>
        <w:t xml:space="preserve">reaty </w:t>
      </w:r>
      <w:r w:rsidR="009B425D">
        <w:rPr>
          <w:color w:val="000000"/>
        </w:rPr>
        <w:t>promises</w:t>
      </w:r>
      <w:r w:rsidR="00B00223" w:rsidRPr="00C517CD">
        <w:rPr>
          <w:color w:val="000000"/>
        </w:rPr>
        <w:t xml:space="preserve">. </w:t>
      </w:r>
      <w:r w:rsidRPr="00B00223">
        <w:rPr>
          <w:color w:val="000000"/>
        </w:rPr>
        <w:t xml:space="preserve">Dewdney initiated strict stipulations </w:t>
      </w:r>
      <w:r>
        <w:rPr>
          <w:color w:val="000000"/>
        </w:rPr>
        <w:t>for</w:t>
      </w:r>
      <w:r w:rsidRPr="00B00223">
        <w:rPr>
          <w:color w:val="000000"/>
        </w:rPr>
        <w:t xml:space="preserve"> the distribution of tea, tobacco and ammunition, as he felt it was more economical for the government to give these supplies out in small quantities and only when work was completed.</w:t>
      </w:r>
      <w:r w:rsidR="00BA6375">
        <w:rPr>
          <w:rStyle w:val="FootnoteReference"/>
          <w:color w:val="000000"/>
        </w:rPr>
        <w:footnoteReference w:id="129"/>
      </w:r>
      <w:r w:rsidR="001360E4">
        <w:rPr>
          <w:color w:val="000000"/>
        </w:rPr>
        <w:t xml:space="preserve"> </w:t>
      </w:r>
      <w:r w:rsidRPr="00B00223">
        <w:rPr>
          <w:color w:val="000000"/>
        </w:rPr>
        <w:t xml:space="preserve">It </w:t>
      </w:r>
      <w:r>
        <w:rPr>
          <w:color w:val="000000"/>
        </w:rPr>
        <w:t>wa</w:t>
      </w:r>
      <w:r w:rsidRPr="00B00223">
        <w:rPr>
          <w:color w:val="000000"/>
        </w:rPr>
        <w:t xml:space="preserve">s noted that the “tea and tobacco which was given to the Indians… made them very cheerful.” However, </w:t>
      </w:r>
      <w:r>
        <w:rPr>
          <w:color w:val="000000"/>
        </w:rPr>
        <w:t xml:space="preserve">it was </w:t>
      </w:r>
      <w:r w:rsidRPr="00B00223">
        <w:rPr>
          <w:color w:val="000000"/>
        </w:rPr>
        <w:t>indicate</w:t>
      </w:r>
      <w:r>
        <w:rPr>
          <w:color w:val="000000"/>
        </w:rPr>
        <w:t>d that bands had</w:t>
      </w:r>
      <w:r w:rsidRPr="00B00223">
        <w:rPr>
          <w:color w:val="000000"/>
        </w:rPr>
        <w:t xml:space="preserve"> anxieties in regard to </w:t>
      </w:r>
      <w:r>
        <w:rPr>
          <w:color w:val="000000"/>
        </w:rPr>
        <w:t>a lack of</w:t>
      </w:r>
      <w:r w:rsidRPr="00B00223">
        <w:rPr>
          <w:color w:val="000000"/>
        </w:rPr>
        <w:t xml:space="preserve"> moccasins and clothing</w:t>
      </w:r>
      <w:r>
        <w:rPr>
          <w:color w:val="000000"/>
        </w:rPr>
        <w:t xml:space="preserve"> at this time</w:t>
      </w:r>
      <w:r w:rsidRPr="00B00223">
        <w:rPr>
          <w:color w:val="000000"/>
        </w:rPr>
        <w:t>.</w:t>
      </w:r>
      <w:r w:rsidR="001360E4">
        <w:rPr>
          <w:rStyle w:val="FootnoteReference"/>
          <w:color w:val="000000"/>
        </w:rPr>
        <w:footnoteReference w:id="130"/>
      </w:r>
      <w:r w:rsidRPr="00B00223">
        <w:rPr>
          <w:color w:val="000000"/>
        </w:rPr>
        <w:t xml:space="preserve"> </w:t>
      </w:r>
      <w:r w:rsidR="00B00223" w:rsidRPr="00C517CD">
        <w:rPr>
          <w:color w:val="000000"/>
        </w:rPr>
        <w:t>In addition, the</w:t>
      </w:r>
      <w:r>
        <w:rPr>
          <w:color w:val="000000"/>
        </w:rPr>
        <w:t xml:space="preserve"> government</w:t>
      </w:r>
      <w:r w:rsidR="00B00223" w:rsidRPr="00C517CD">
        <w:rPr>
          <w:color w:val="000000"/>
        </w:rPr>
        <w:t xml:space="preserve"> strategically delayed the payments of annuities to drive up the sales of winter necessities. These delayed payments would have had negative effects on the lives of the </w:t>
      </w:r>
      <w:r w:rsidR="009B425D">
        <w:rPr>
          <w:color w:val="000000"/>
        </w:rPr>
        <w:t>bands</w:t>
      </w:r>
      <w:r w:rsidR="00B00223" w:rsidRPr="00C517CD">
        <w:rPr>
          <w:color w:val="000000"/>
        </w:rPr>
        <w:t xml:space="preserve">, </w:t>
      </w:r>
      <w:r w:rsidR="00B00223" w:rsidRPr="00C517CD">
        <w:rPr>
          <w:color w:val="000000"/>
        </w:rPr>
        <w:lastRenderedPageBreak/>
        <w:t>as they would have had to ration their funds and provisions.</w:t>
      </w:r>
      <w:r w:rsidR="009B425D">
        <w:rPr>
          <w:color w:val="000000"/>
        </w:rPr>
        <w:t xml:space="preserve"> </w:t>
      </w:r>
      <w:r w:rsidR="00B00223" w:rsidRPr="00B00223">
        <w:rPr>
          <w:color w:val="000000"/>
        </w:rPr>
        <w:t>Members of Pasquas band were presented with ploughs and ox harnesses as a means of encouragement</w:t>
      </w:r>
      <w:r w:rsidR="006C15D6">
        <w:rPr>
          <w:color w:val="000000"/>
        </w:rPr>
        <w:t>.</w:t>
      </w:r>
      <w:r w:rsidR="001360E4" w:rsidRPr="001360E4">
        <w:rPr>
          <w:rStyle w:val="FootnoteReference"/>
          <w:color w:val="000000"/>
        </w:rPr>
        <w:t xml:space="preserve"> </w:t>
      </w:r>
      <w:r w:rsidR="001360E4">
        <w:rPr>
          <w:rStyle w:val="FootnoteReference"/>
          <w:color w:val="000000"/>
        </w:rPr>
        <w:footnoteReference w:id="131"/>
      </w:r>
      <w:r w:rsidR="006C15D6">
        <w:rPr>
          <w:color w:val="000000"/>
        </w:rPr>
        <w:t xml:space="preserve"> The </w:t>
      </w:r>
      <w:r w:rsidR="009B425D">
        <w:rPr>
          <w:color w:val="000000"/>
        </w:rPr>
        <w:t>‘</w:t>
      </w:r>
      <w:r w:rsidR="006C15D6">
        <w:rPr>
          <w:color w:val="000000"/>
        </w:rPr>
        <w:t>gifting</w:t>
      </w:r>
      <w:r w:rsidR="009B425D">
        <w:rPr>
          <w:color w:val="000000"/>
        </w:rPr>
        <w:t>’</w:t>
      </w:r>
      <w:r w:rsidR="006C15D6">
        <w:rPr>
          <w:color w:val="000000"/>
        </w:rPr>
        <w:t xml:space="preserve"> of these implements </w:t>
      </w:r>
      <w:r w:rsidR="009B425D">
        <w:rPr>
          <w:color w:val="000000"/>
        </w:rPr>
        <w:t xml:space="preserve">after </w:t>
      </w:r>
      <w:r>
        <w:rPr>
          <w:color w:val="000000"/>
        </w:rPr>
        <w:t>work was done and success</w:t>
      </w:r>
      <w:r w:rsidR="009B425D">
        <w:rPr>
          <w:color w:val="000000"/>
        </w:rPr>
        <w:t xml:space="preserve"> had bee</w:t>
      </w:r>
      <w:r>
        <w:rPr>
          <w:color w:val="000000"/>
        </w:rPr>
        <w:t>n achieved</w:t>
      </w:r>
      <w:r w:rsidR="009B425D">
        <w:rPr>
          <w:color w:val="000000"/>
        </w:rPr>
        <w:t xml:space="preserve">, rather than receiving them as part of their </w:t>
      </w:r>
      <w:r>
        <w:rPr>
          <w:color w:val="000000"/>
        </w:rPr>
        <w:t>t</w:t>
      </w:r>
      <w:r w:rsidR="009B425D">
        <w:rPr>
          <w:color w:val="000000"/>
        </w:rPr>
        <w:t xml:space="preserve">reaty </w:t>
      </w:r>
      <w:r>
        <w:rPr>
          <w:color w:val="000000"/>
        </w:rPr>
        <w:t xml:space="preserve">implements, </w:t>
      </w:r>
      <w:r w:rsidR="006C15D6">
        <w:rPr>
          <w:color w:val="000000"/>
        </w:rPr>
        <w:t xml:space="preserve">further conveys the </w:t>
      </w:r>
      <w:r w:rsidR="009B425D">
        <w:rPr>
          <w:color w:val="000000"/>
        </w:rPr>
        <w:t>inadequacies</w:t>
      </w:r>
      <w:r w:rsidR="006C15D6">
        <w:rPr>
          <w:color w:val="000000"/>
        </w:rPr>
        <w:t xml:space="preserve"> of Treaty 4</w:t>
      </w:r>
      <w:r w:rsidR="00B00223" w:rsidRPr="00B00223">
        <w:rPr>
          <w:color w:val="000000"/>
        </w:rPr>
        <w:t>.  </w:t>
      </w:r>
    </w:p>
    <w:p w14:paraId="4D833D92" w14:textId="3D382B82" w:rsidR="00DF6361" w:rsidRDefault="009B425D" w:rsidP="00DF6361">
      <w:pPr>
        <w:spacing w:line="480" w:lineRule="auto"/>
        <w:ind w:firstLine="720"/>
        <w:textAlignment w:val="baseline"/>
        <w:rPr>
          <w:color w:val="000000"/>
        </w:rPr>
      </w:pPr>
      <w:r>
        <w:rPr>
          <w:color w:val="000000"/>
        </w:rPr>
        <w:t xml:space="preserve">Although immense progress had been made and recorded in regard to reserve farms, Dewdney continued to view band members as </w:t>
      </w:r>
      <w:r w:rsidR="00B00223" w:rsidRPr="00B00223">
        <w:rPr>
          <w:color w:val="000000"/>
        </w:rPr>
        <w:t>“</w:t>
      </w:r>
      <w:r>
        <w:rPr>
          <w:color w:val="000000"/>
        </w:rPr>
        <w:t>w</w:t>
      </w:r>
      <w:r w:rsidR="00B00223" w:rsidRPr="00B00223">
        <w:rPr>
          <w:color w:val="000000"/>
        </w:rPr>
        <w:t>orthless and lazy Indians</w:t>
      </w:r>
      <w:r w:rsidR="001360E4">
        <w:rPr>
          <w:color w:val="000000"/>
        </w:rPr>
        <w:t>.</w:t>
      </w:r>
      <w:r w:rsidR="00B00223" w:rsidRPr="00B00223">
        <w:rPr>
          <w:color w:val="000000"/>
        </w:rPr>
        <w:t>”</w:t>
      </w:r>
      <w:r w:rsidR="001360E4">
        <w:rPr>
          <w:color w:val="000000"/>
        </w:rPr>
        <w:t xml:space="preserve"> </w:t>
      </w:r>
      <w:r w:rsidR="00B00223" w:rsidRPr="00B00223">
        <w:rPr>
          <w:color w:val="000000"/>
        </w:rPr>
        <w:t>Dewdney believed that if bands were to be left without assistance they would either leave their reserves or be</w:t>
      </w:r>
      <w:r w:rsidR="006C15D6">
        <w:rPr>
          <w:color w:val="000000"/>
        </w:rPr>
        <w:t>come</w:t>
      </w:r>
      <w:r w:rsidR="00B00223" w:rsidRPr="00B00223">
        <w:rPr>
          <w:color w:val="000000"/>
        </w:rPr>
        <w:t xml:space="preserve"> more dependent on the government in the future</w:t>
      </w:r>
      <w:r w:rsidR="001360E4">
        <w:rPr>
          <w:color w:val="000000"/>
        </w:rPr>
        <w:t xml:space="preserve">. </w:t>
      </w:r>
      <w:r w:rsidR="00B00223" w:rsidRPr="00B00223">
        <w:rPr>
          <w:color w:val="000000"/>
        </w:rPr>
        <w:t xml:space="preserve">He </w:t>
      </w:r>
      <w:r w:rsidR="00D04E9E">
        <w:rPr>
          <w:color w:val="000000"/>
        </w:rPr>
        <w:t>acknowledged that there was</w:t>
      </w:r>
      <w:r w:rsidR="00B00223" w:rsidRPr="00B00223">
        <w:rPr>
          <w:color w:val="000000"/>
        </w:rPr>
        <w:t xml:space="preserve"> insufficient amount</w:t>
      </w:r>
      <w:r w:rsidR="00D04E9E">
        <w:rPr>
          <w:color w:val="000000"/>
        </w:rPr>
        <w:t xml:space="preserve">s </w:t>
      </w:r>
      <w:r w:rsidR="00B00223" w:rsidRPr="00B00223">
        <w:rPr>
          <w:color w:val="000000"/>
        </w:rPr>
        <w:t xml:space="preserve">of tools, implements and power received through treaty, </w:t>
      </w:r>
      <w:r w:rsidR="00D04E9E">
        <w:rPr>
          <w:color w:val="000000"/>
        </w:rPr>
        <w:t>however, he noted that</w:t>
      </w:r>
      <w:r w:rsidR="00B00223" w:rsidRPr="00B00223">
        <w:rPr>
          <w:color w:val="000000"/>
        </w:rPr>
        <w:t xml:space="preserve"> at this time “the cry for rations </w:t>
      </w:r>
      <w:r w:rsidR="006C15D6">
        <w:rPr>
          <w:color w:val="000000"/>
        </w:rPr>
        <w:t xml:space="preserve">[was] </w:t>
      </w:r>
      <w:r w:rsidR="00B00223" w:rsidRPr="00B00223">
        <w:rPr>
          <w:color w:val="000000"/>
        </w:rPr>
        <w:t xml:space="preserve">not so persistent” </w:t>
      </w:r>
      <w:r w:rsidR="006C15D6">
        <w:rPr>
          <w:color w:val="000000"/>
        </w:rPr>
        <w:t>as it previously had been</w:t>
      </w:r>
      <w:r w:rsidR="00DF6361">
        <w:rPr>
          <w:color w:val="000000"/>
        </w:rPr>
        <w:t>.</w:t>
      </w:r>
      <w:r w:rsidR="001360E4">
        <w:rPr>
          <w:rStyle w:val="FootnoteReference"/>
          <w:color w:val="000000"/>
        </w:rPr>
        <w:footnoteReference w:id="132"/>
      </w:r>
      <w:r w:rsidR="00DF6361">
        <w:rPr>
          <w:color w:val="000000"/>
        </w:rPr>
        <w:t xml:space="preserve"> </w:t>
      </w:r>
      <w:r w:rsidR="00B00223" w:rsidRPr="00B00223">
        <w:rPr>
          <w:color w:val="000000"/>
        </w:rPr>
        <w:t xml:space="preserve">The government </w:t>
      </w:r>
      <w:r w:rsidR="00DF6361">
        <w:rPr>
          <w:color w:val="000000"/>
        </w:rPr>
        <w:t xml:space="preserve">still </w:t>
      </w:r>
      <w:r w:rsidR="00B00223" w:rsidRPr="00B00223">
        <w:rPr>
          <w:color w:val="000000"/>
        </w:rPr>
        <w:t>d</w:t>
      </w:r>
      <w:r w:rsidR="006C15D6">
        <w:rPr>
          <w:color w:val="000000"/>
        </w:rPr>
        <w:t>id</w:t>
      </w:r>
      <w:r w:rsidR="00B00223" w:rsidRPr="00B00223">
        <w:rPr>
          <w:color w:val="000000"/>
        </w:rPr>
        <w:t xml:space="preserve"> not want to supply bands with help unless they help</w:t>
      </w:r>
      <w:r w:rsidR="006C15D6">
        <w:rPr>
          <w:color w:val="000000"/>
        </w:rPr>
        <w:t>ed</w:t>
      </w:r>
      <w:r w:rsidR="00B00223" w:rsidRPr="00B00223">
        <w:rPr>
          <w:color w:val="000000"/>
        </w:rPr>
        <w:t xml:space="preserve"> themselves first. However, this logic </w:t>
      </w:r>
      <w:r w:rsidR="00D04E9E">
        <w:rPr>
          <w:color w:val="000000"/>
        </w:rPr>
        <w:t xml:space="preserve">was not beneficial, </w:t>
      </w:r>
      <w:r w:rsidR="00B00223" w:rsidRPr="00B00223">
        <w:rPr>
          <w:color w:val="000000"/>
        </w:rPr>
        <w:t>as for the most part</w:t>
      </w:r>
      <w:r w:rsidR="00DF6361">
        <w:rPr>
          <w:color w:val="000000"/>
        </w:rPr>
        <w:t xml:space="preserve"> </w:t>
      </w:r>
      <w:r w:rsidR="00B00223" w:rsidRPr="00B00223">
        <w:rPr>
          <w:color w:val="000000"/>
        </w:rPr>
        <w:t xml:space="preserve">assistance and provisions were needed before </w:t>
      </w:r>
      <w:r w:rsidR="00DF6361">
        <w:rPr>
          <w:color w:val="000000"/>
        </w:rPr>
        <w:t>stability was achieved on</w:t>
      </w:r>
      <w:r w:rsidR="00B00223" w:rsidRPr="00B00223">
        <w:rPr>
          <w:color w:val="000000"/>
        </w:rPr>
        <w:t xml:space="preserve"> reserves. As stated by Dewdney, Pasquas band was successful in raising crops and had broken a substantial amount of land.</w:t>
      </w:r>
      <w:r w:rsidR="001360E4">
        <w:rPr>
          <w:rStyle w:val="FootnoteReference"/>
          <w:color w:val="000000"/>
        </w:rPr>
        <w:footnoteReference w:id="133"/>
      </w:r>
      <w:r w:rsidR="00B00223" w:rsidRPr="00B00223">
        <w:rPr>
          <w:color w:val="000000"/>
        </w:rPr>
        <w:t> </w:t>
      </w:r>
      <w:r w:rsidR="006C15D6">
        <w:rPr>
          <w:color w:val="000000"/>
        </w:rPr>
        <w:t xml:space="preserve">However, </w:t>
      </w:r>
      <w:r w:rsidR="00B00223" w:rsidRPr="00B00223">
        <w:rPr>
          <w:color w:val="000000"/>
        </w:rPr>
        <w:t xml:space="preserve">Pasquas band is </w:t>
      </w:r>
      <w:r w:rsidR="006C15D6">
        <w:rPr>
          <w:color w:val="000000"/>
        </w:rPr>
        <w:t xml:space="preserve">recorded </w:t>
      </w:r>
      <w:r w:rsidR="00B00223" w:rsidRPr="00B00223">
        <w:rPr>
          <w:color w:val="000000"/>
        </w:rPr>
        <w:t>to</w:t>
      </w:r>
      <w:r w:rsidR="006C15D6">
        <w:rPr>
          <w:color w:val="000000"/>
        </w:rPr>
        <w:t xml:space="preserve"> have</w:t>
      </w:r>
      <w:r w:rsidR="00B00223" w:rsidRPr="00B00223">
        <w:rPr>
          <w:color w:val="000000"/>
        </w:rPr>
        <w:t xml:space="preserve"> halt</w:t>
      </w:r>
      <w:r w:rsidR="006C15D6">
        <w:rPr>
          <w:color w:val="000000"/>
        </w:rPr>
        <w:t xml:space="preserve">ed </w:t>
      </w:r>
      <w:r w:rsidR="00B00223" w:rsidRPr="00B00223">
        <w:rPr>
          <w:color w:val="000000"/>
        </w:rPr>
        <w:t>in their advancement due to the failure of a previous crop.</w:t>
      </w:r>
      <w:r w:rsidR="001360E4">
        <w:rPr>
          <w:rStyle w:val="FootnoteReference"/>
          <w:color w:val="000000"/>
        </w:rPr>
        <w:footnoteReference w:id="134"/>
      </w:r>
      <w:r w:rsidR="00B00223" w:rsidRPr="00B00223">
        <w:rPr>
          <w:color w:val="000000"/>
        </w:rPr>
        <w:t> </w:t>
      </w:r>
      <w:r w:rsidR="006C15D6">
        <w:rPr>
          <w:color w:val="000000"/>
        </w:rPr>
        <w:t>Numerous</w:t>
      </w:r>
      <w:r w:rsidR="006C15D6" w:rsidRPr="00B00223">
        <w:rPr>
          <w:color w:val="000000"/>
        </w:rPr>
        <w:t xml:space="preserve"> government reports </w:t>
      </w:r>
      <w:r w:rsidR="00DF6361">
        <w:rPr>
          <w:color w:val="000000"/>
        </w:rPr>
        <w:t>indicate</w:t>
      </w:r>
      <w:r w:rsidR="006C15D6">
        <w:rPr>
          <w:color w:val="000000"/>
        </w:rPr>
        <w:t xml:space="preserve"> </w:t>
      </w:r>
      <w:r w:rsidR="006C15D6" w:rsidRPr="00B00223">
        <w:rPr>
          <w:color w:val="000000"/>
        </w:rPr>
        <w:t>that the harsh climate and weather conditions played a substantial role in crop deficiencies and therefore negatively affected the success of bands.</w:t>
      </w:r>
      <w:r w:rsidR="001360E4">
        <w:rPr>
          <w:rStyle w:val="FootnoteReference"/>
          <w:color w:val="000000"/>
        </w:rPr>
        <w:footnoteReference w:id="135"/>
      </w:r>
      <w:r w:rsidR="006C15D6" w:rsidRPr="00B00223">
        <w:rPr>
          <w:color w:val="000000"/>
        </w:rPr>
        <w:t xml:space="preserve"> </w:t>
      </w:r>
      <w:r w:rsidR="00D04E9E">
        <w:rPr>
          <w:color w:val="000000"/>
        </w:rPr>
        <w:t xml:space="preserve">John A. </w:t>
      </w:r>
      <w:r w:rsidR="006C15D6" w:rsidRPr="00B00223">
        <w:rPr>
          <w:color w:val="000000"/>
        </w:rPr>
        <w:t>Macdonald relay</w:t>
      </w:r>
      <w:r w:rsidR="006C15D6">
        <w:rPr>
          <w:color w:val="000000"/>
        </w:rPr>
        <w:t xml:space="preserve">ed </w:t>
      </w:r>
      <w:r w:rsidR="006C15D6" w:rsidRPr="00B00223">
        <w:rPr>
          <w:color w:val="000000"/>
        </w:rPr>
        <w:t xml:space="preserve">in his 1884 report that Pasquas band had “done remarkably well,” also noting </w:t>
      </w:r>
      <w:r w:rsidR="006C15D6" w:rsidRPr="00B00223">
        <w:rPr>
          <w:color w:val="000000"/>
        </w:rPr>
        <w:lastRenderedPageBreak/>
        <w:t>that this was in part due to his perceived change in Pasquas behaviour and attitude.</w:t>
      </w:r>
      <w:r w:rsidR="001360E4" w:rsidRPr="001360E4">
        <w:rPr>
          <w:rStyle w:val="FootnoteReference"/>
          <w:color w:val="000000"/>
        </w:rPr>
        <w:t xml:space="preserve"> </w:t>
      </w:r>
      <w:r w:rsidR="001360E4">
        <w:rPr>
          <w:rStyle w:val="FootnoteReference"/>
          <w:color w:val="000000"/>
        </w:rPr>
        <w:footnoteReference w:id="136"/>
      </w:r>
      <w:r w:rsidR="006C15D6" w:rsidRPr="00B00223">
        <w:rPr>
          <w:color w:val="000000"/>
        </w:rPr>
        <w:t> </w:t>
      </w:r>
      <w:r w:rsidR="006C15D6">
        <w:rPr>
          <w:color w:val="000000"/>
        </w:rPr>
        <w:t xml:space="preserve">He stated </w:t>
      </w:r>
      <w:r w:rsidR="006C15D6" w:rsidRPr="00B00223">
        <w:rPr>
          <w:color w:val="000000"/>
        </w:rPr>
        <w:t xml:space="preserve">that Chief Pasqua was progressing in a favourable manner, as it </w:t>
      </w:r>
      <w:r w:rsidR="00D04E9E">
        <w:rPr>
          <w:color w:val="000000"/>
        </w:rPr>
        <w:t>wa</w:t>
      </w:r>
      <w:r w:rsidR="006C15D6" w:rsidRPr="00B00223">
        <w:rPr>
          <w:color w:val="000000"/>
        </w:rPr>
        <w:t>s acknowledged that the chief kept on his reserve for the most part, and therefore in his eyes was submitting to the control of the government.</w:t>
      </w:r>
      <w:r w:rsidR="001360E4">
        <w:rPr>
          <w:rStyle w:val="FootnoteReference"/>
          <w:color w:val="000000"/>
        </w:rPr>
        <w:footnoteReference w:id="137"/>
      </w:r>
      <w:r w:rsidR="006C15D6" w:rsidRPr="00B00223">
        <w:rPr>
          <w:color w:val="000000"/>
        </w:rPr>
        <w:t xml:space="preserve"> This ‘submission’ could have largely been due to </w:t>
      </w:r>
      <w:r w:rsidR="00D04E9E">
        <w:rPr>
          <w:color w:val="000000"/>
        </w:rPr>
        <w:t xml:space="preserve">the </w:t>
      </w:r>
      <w:r w:rsidR="006C15D6" w:rsidRPr="00B00223">
        <w:rPr>
          <w:color w:val="000000"/>
        </w:rPr>
        <w:t>success and progress</w:t>
      </w:r>
      <w:r w:rsidR="00D04E9E">
        <w:rPr>
          <w:color w:val="000000"/>
        </w:rPr>
        <w:t xml:space="preserve"> of his band</w:t>
      </w:r>
      <w:r w:rsidR="006C15D6" w:rsidRPr="00B00223">
        <w:rPr>
          <w:color w:val="000000"/>
        </w:rPr>
        <w:t>, leading to less ‘complaints/demands’ or fears shared with government employees.</w:t>
      </w:r>
    </w:p>
    <w:p w14:paraId="73B893DA" w14:textId="2F2181ED" w:rsidR="009B425D" w:rsidRPr="00B00223" w:rsidRDefault="009B425D" w:rsidP="00DF6361">
      <w:pPr>
        <w:spacing w:line="480" w:lineRule="auto"/>
        <w:ind w:firstLine="720"/>
        <w:textAlignment w:val="baseline"/>
        <w:rPr>
          <w:color w:val="000000"/>
        </w:rPr>
      </w:pPr>
      <w:r w:rsidRPr="00B00223">
        <w:rPr>
          <w:color w:val="000000"/>
        </w:rPr>
        <w:t>Several bands were believed to be ready and willing to have schools built on their reserves.</w:t>
      </w:r>
      <w:r w:rsidR="001360E4">
        <w:rPr>
          <w:rStyle w:val="FootnoteReference"/>
          <w:color w:val="000000"/>
        </w:rPr>
        <w:footnoteReference w:id="138"/>
      </w:r>
      <w:r>
        <w:rPr>
          <w:color w:val="000000"/>
        </w:rPr>
        <w:t xml:space="preserve"> </w:t>
      </w:r>
      <w:r w:rsidR="00DF6361">
        <w:rPr>
          <w:color w:val="000000"/>
        </w:rPr>
        <w:t>Dewdney</w:t>
      </w:r>
      <w:r w:rsidRPr="00B00223">
        <w:rPr>
          <w:color w:val="000000"/>
        </w:rPr>
        <w:t xml:space="preserve"> </w:t>
      </w:r>
      <w:r w:rsidR="00DF6361" w:rsidRPr="00B00223">
        <w:rPr>
          <w:color w:val="000000"/>
        </w:rPr>
        <w:t>state</w:t>
      </w:r>
      <w:r w:rsidR="00DF6361">
        <w:rPr>
          <w:color w:val="000000"/>
        </w:rPr>
        <w:t>d</w:t>
      </w:r>
      <w:r w:rsidRPr="00B00223">
        <w:rPr>
          <w:color w:val="000000"/>
        </w:rPr>
        <w:t xml:space="preserve"> </w:t>
      </w:r>
      <w:r>
        <w:rPr>
          <w:color w:val="000000"/>
        </w:rPr>
        <w:t>in his 1884 report t</w:t>
      </w:r>
      <w:r w:rsidRPr="00B00223">
        <w:rPr>
          <w:color w:val="000000"/>
        </w:rPr>
        <w:t xml:space="preserve">hat a </w:t>
      </w:r>
      <w:r w:rsidR="00DF6361" w:rsidRPr="00B00223">
        <w:rPr>
          <w:color w:val="000000"/>
        </w:rPr>
        <w:t>schoolhouse</w:t>
      </w:r>
      <w:r w:rsidRPr="00B00223">
        <w:rPr>
          <w:color w:val="000000"/>
        </w:rPr>
        <w:t xml:space="preserve"> was being built for Pasquas </w:t>
      </w:r>
      <w:r w:rsidR="00D04E9E" w:rsidRPr="00B00223">
        <w:rPr>
          <w:color w:val="000000"/>
        </w:rPr>
        <w:t>band but</w:t>
      </w:r>
      <w:r w:rsidRPr="00B00223">
        <w:rPr>
          <w:color w:val="000000"/>
        </w:rPr>
        <w:t xml:space="preserve"> was still not fully completed. The </w:t>
      </w:r>
      <w:r w:rsidR="00DF6361" w:rsidRPr="00B00223">
        <w:rPr>
          <w:color w:val="000000"/>
        </w:rPr>
        <w:t>schoolhouse</w:t>
      </w:r>
      <w:r w:rsidRPr="00B00223">
        <w:rPr>
          <w:color w:val="000000"/>
        </w:rPr>
        <w:t xml:space="preserve"> required work to be done</w:t>
      </w:r>
      <w:r w:rsidR="00DF6361">
        <w:rPr>
          <w:color w:val="000000"/>
        </w:rPr>
        <w:t xml:space="preserve"> for it </w:t>
      </w:r>
      <w:r w:rsidRPr="00B00223">
        <w:rPr>
          <w:color w:val="000000"/>
        </w:rPr>
        <w:t>to be considered comfortable enough for a teacher. Due to this delay</w:t>
      </w:r>
      <w:r w:rsidR="00DF6361">
        <w:rPr>
          <w:color w:val="000000"/>
        </w:rPr>
        <w:t xml:space="preserve">, </w:t>
      </w:r>
      <w:r w:rsidRPr="00B00223">
        <w:rPr>
          <w:color w:val="000000"/>
        </w:rPr>
        <w:t xml:space="preserve">there was no mention of securing a teacher for the school as of 1884. </w:t>
      </w:r>
      <w:r w:rsidR="00D04E9E">
        <w:rPr>
          <w:color w:val="000000"/>
        </w:rPr>
        <w:t xml:space="preserve">A. </w:t>
      </w:r>
      <w:r w:rsidRPr="00B00223">
        <w:rPr>
          <w:color w:val="000000"/>
        </w:rPr>
        <w:t>Macdonald noted that following the completion of the Industrial schools “there would be no difficultly in [employing] scholars.”</w:t>
      </w:r>
      <w:r w:rsidR="001360E4">
        <w:rPr>
          <w:rStyle w:val="FootnoteReference"/>
          <w:color w:val="000000"/>
        </w:rPr>
        <w:footnoteReference w:id="139"/>
      </w:r>
      <w:r>
        <w:rPr>
          <w:color w:val="000000"/>
        </w:rPr>
        <w:t xml:space="preserve"> However, i</w:t>
      </w:r>
      <w:r w:rsidRPr="00B00223">
        <w:rPr>
          <w:color w:val="000000"/>
        </w:rPr>
        <w:t xml:space="preserve">t </w:t>
      </w:r>
      <w:r>
        <w:rPr>
          <w:color w:val="000000"/>
        </w:rPr>
        <w:t>was</w:t>
      </w:r>
      <w:r w:rsidRPr="00B00223">
        <w:rPr>
          <w:color w:val="000000"/>
        </w:rPr>
        <w:t xml:space="preserve"> noted</w:t>
      </w:r>
      <w:r>
        <w:rPr>
          <w:color w:val="000000"/>
        </w:rPr>
        <w:t xml:space="preserve"> </w:t>
      </w:r>
      <w:r w:rsidR="00DF6361">
        <w:rPr>
          <w:color w:val="000000"/>
        </w:rPr>
        <w:t xml:space="preserve">in </w:t>
      </w:r>
      <w:r>
        <w:rPr>
          <w:color w:val="000000"/>
        </w:rPr>
        <w:t>his previous report</w:t>
      </w:r>
      <w:r w:rsidR="00DF6361">
        <w:rPr>
          <w:color w:val="000000"/>
        </w:rPr>
        <w:t xml:space="preserve">, </w:t>
      </w:r>
      <w:r>
        <w:rPr>
          <w:color w:val="000000"/>
        </w:rPr>
        <w:t>from 1883</w:t>
      </w:r>
      <w:r w:rsidR="00DF6361">
        <w:rPr>
          <w:color w:val="000000"/>
        </w:rPr>
        <w:t>,</w:t>
      </w:r>
      <w:r>
        <w:rPr>
          <w:color w:val="000000"/>
        </w:rPr>
        <w:t xml:space="preserve"> </w:t>
      </w:r>
      <w:r w:rsidRPr="00B00223">
        <w:rPr>
          <w:color w:val="000000"/>
        </w:rPr>
        <w:t xml:space="preserve">that there </w:t>
      </w:r>
      <w:r>
        <w:rPr>
          <w:color w:val="000000"/>
        </w:rPr>
        <w:t>were</w:t>
      </w:r>
      <w:r w:rsidRPr="00B00223">
        <w:rPr>
          <w:color w:val="000000"/>
        </w:rPr>
        <w:t xml:space="preserve"> problems in keeping teachers on reserves due to the little pay </w:t>
      </w:r>
      <w:r>
        <w:rPr>
          <w:color w:val="000000"/>
        </w:rPr>
        <w:t xml:space="preserve">that </w:t>
      </w:r>
      <w:r w:rsidRPr="00B00223">
        <w:rPr>
          <w:color w:val="000000"/>
        </w:rPr>
        <w:t>they would receive.</w:t>
      </w:r>
      <w:r w:rsidR="001360E4">
        <w:rPr>
          <w:rStyle w:val="FootnoteReference"/>
          <w:color w:val="000000"/>
        </w:rPr>
        <w:footnoteReference w:id="140"/>
      </w:r>
      <w:r w:rsidRPr="00B00223">
        <w:rPr>
          <w:color w:val="000000"/>
        </w:rPr>
        <w:t xml:space="preserve"> It is important to </w:t>
      </w:r>
      <w:r w:rsidR="00DF6361">
        <w:rPr>
          <w:color w:val="000000"/>
        </w:rPr>
        <w:t>acknowledge</w:t>
      </w:r>
      <w:r w:rsidRPr="00B00223">
        <w:rPr>
          <w:color w:val="000000"/>
        </w:rPr>
        <w:t xml:space="preserve"> that the education/schools that were promised in the </w:t>
      </w:r>
      <w:r>
        <w:rPr>
          <w:color w:val="000000"/>
        </w:rPr>
        <w:t>T</w:t>
      </w:r>
      <w:r w:rsidRPr="00B00223">
        <w:rPr>
          <w:color w:val="000000"/>
        </w:rPr>
        <w:t xml:space="preserve">reaty </w:t>
      </w:r>
      <w:r>
        <w:rPr>
          <w:color w:val="000000"/>
        </w:rPr>
        <w:t>4</w:t>
      </w:r>
      <w:r w:rsidR="00DF6361">
        <w:rPr>
          <w:color w:val="000000"/>
        </w:rPr>
        <w:t xml:space="preserve"> </w:t>
      </w:r>
      <w:r w:rsidRPr="00B00223">
        <w:rPr>
          <w:color w:val="000000"/>
        </w:rPr>
        <w:t>- signed 10 yea</w:t>
      </w:r>
      <w:r>
        <w:rPr>
          <w:color w:val="000000"/>
        </w:rPr>
        <w:t xml:space="preserve">rs prior </w:t>
      </w:r>
      <w:r w:rsidR="00DF6361">
        <w:rPr>
          <w:color w:val="000000"/>
        </w:rPr>
        <w:t xml:space="preserve">to Dewdney’s </w:t>
      </w:r>
      <w:r>
        <w:rPr>
          <w:color w:val="000000"/>
        </w:rPr>
        <w:t>report</w:t>
      </w:r>
      <w:r w:rsidRPr="00B00223">
        <w:rPr>
          <w:color w:val="000000"/>
        </w:rPr>
        <w:t xml:space="preserve"> - were still not </w:t>
      </w:r>
      <w:r>
        <w:rPr>
          <w:color w:val="000000"/>
        </w:rPr>
        <w:t xml:space="preserve">fully </w:t>
      </w:r>
      <w:r w:rsidRPr="00B00223">
        <w:rPr>
          <w:color w:val="000000"/>
        </w:rPr>
        <w:t>in place.</w:t>
      </w:r>
      <w:r w:rsidR="001360E4">
        <w:rPr>
          <w:rStyle w:val="FootnoteReference"/>
          <w:color w:val="000000"/>
        </w:rPr>
        <w:footnoteReference w:id="141"/>
      </w:r>
      <w:r w:rsidRPr="00B00223">
        <w:rPr>
          <w:color w:val="000000"/>
        </w:rPr>
        <w:t xml:space="preserve"> </w:t>
      </w:r>
    </w:p>
    <w:p w14:paraId="52824F1C" w14:textId="5B0CDBF9" w:rsidR="00DF6361" w:rsidRDefault="009B425D" w:rsidP="00DF6361">
      <w:pPr>
        <w:spacing w:line="480" w:lineRule="auto"/>
        <w:ind w:firstLine="720"/>
        <w:textAlignment w:val="baseline"/>
        <w:rPr>
          <w:color w:val="000000"/>
        </w:rPr>
      </w:pPr>
      <w:r>
        <w:rPr>
          <w:color w:val="000000"/>
        </w:rPr>
        <w:t xml:space="preserve">The records created for the </w:t>
      </w:r>
      <w:r w:rsidR="00DF6361">
        <w:rPr>
          <w:color w:val="000000"/>
        </w:rPr>
        <w:t xml:space="preserve">time period </w:t>
      </w:r>
      <w:r>
        <w:rPr>
          <w:color w:val="000000"/>
        </w:rPr>
        <w:t>spanning 1883-84 were quite limited in the information that they provided. In 1883 the department of</w:t>
      </w:r>
      <w:r w:rsidRPr="00B00223">
        <w:rPr>
          <w:color w:val="000000"/>
        </w:rPr>
        <w:t xml:space="preserve"> Indian Affairs </w:t>
      </w:r>
      <w:r>
        <w:rPr>
          <w:color w:val="000000"/>
        </w:rPr>
        <w:t xml:space="preserve">recorded </w:t>
      </w:r>
      <w:r w:rsidRPr="00B00223">
        <w:rPr>
          <w:color w:val="000000"/>
        </w:rPr>
        <w:t xml:space="preserve">the amount of money paid to companies and government employees as well as the types of provisions and </w:t>
      </w:r>
      <w:r w:rsidRPr="00B00223">
        <w:rPr>
          <w:color w:val="000000"/>
        </w:rPr>
        <w:lastRenderedPageBreak/>
        <w:t xml:space="preserve">implements given to members of Treaty 4. However, this report includes limited information as it does not specifically note the bands included or </w:t>
      </w:r>
      <w:r>
        <w:rPr>
          <w:color w:val="000000"/>
        </w:rPr>
        <w:t>the quantities of specific provisions</w:t>
      </w:r>
      <w:r w:rsidR="00DF6361">
        <w:rPr>
          <w:color w:val="000000"/>
        </w:rPr>
        <w:t xml:space="preserve"> and </w:t>
      </w:r>
      <w:r>
        <w:rPr>
          <w:color w:val="000000"/>
        </w:rPr>
        <w:t>implements that</w:t>
      </w:r>
      <w:r w:rsidRPr="00B00223">
        <w:rPr>
          <w:color w:val="000000"/>
        </w:rPr>
        <w:t xml:space="preserve"> each of them received.</w:t>
      </w:r>
      <w:r w:rsidR="001360E4">
        <w:rPr>
          <w:rStyle w:val="FootnoteReference"/>
          <w:color w:val="000000"/>
        </w:rPr>
        <w:footnoteReference w:id="142"/>
      </w:r>
      <w:r w:rsidR="001360E4" w:rsidRPr="00B00223">
        <w:rPr>
          <w:color w:val="000000"/>
        </w:rPr>
        <w:t xml:space="preserve"> </w:t>
      </w:r>
      <w:r w:rsidR="00DF6361">
        <w:rPr>
          <w:color w:val="000000"/>
        </w:rPr>
        <w:t xml:space="preserve">A </w:t>
      </w:r>
      <w:r>
        <w:rPr>
          <w:color w:val="000000"/>
        </w:rPr>
        <w:t>report from 1884 on the</w:t>
      </w:r>
      <w:r w:rsidR="00B00223" w:rsidRPr="00B00223">
        <w:rPr>
          <w:color w:val="000000"/>
        </w:rPr>
        <w:t xml:space="preserve"> implements that were paid for by the government is </w:t>
      </w:r>
      <w:r>
        <w:rPr>
          <w:color w:val="000000"/>
        </w:rPr>
        <w:t xml:space="preserve">again </w:t>
      </w:r>
      <w:r w:rsidR="00B00223" w:rsidRPr="00B00223">
        <w:rPr>
          <w:color w:val="000000"/>
        </w:rPr>
        <w:t xml:space="preserve">limited in the information </w:t>
      </w:r>
      <w:r w:rsidR="00DF6361">
        <w:rPr>
          <w:color w:val="000000"/>
        </w:rPr>
        <w:t>it provides.</w:t>
      </w:r>
      <w:r w:rsidR="00B00223" w:rsidRPr="00B00223">
        <w:rPr>
          <w:color w:val="000000"/>
        </w:rPr>
        <w:t xml:space="preserve"> Included in this report is evidence that implements, blacksmithing and repairs were paid for. However, it is unclear which bands these services were distributed to and w</w:t>
      </w:r>
      <w:r>
        <w:rPr>
          <w:color w:val="000000"/>
        </w:rPr>
        <w:t>hat</w:t>
      </w:r>
      <w:r w:rsidR="00B00223" w:rsidRPr="00B00223">
        <w:rPr>
          <w:color w:val="000000"/>
        </w:rPr>
        <w:t xml:space="preserve"> quantities were received.</w:t>
      </w:r>
      <w:r w:rsidR="001360E4">
        <w:rPr>
          <w:rStyle w:val="FootnoteReference"/>
          <w:color w:val="000000"/>
        </w:rPr>
        <w:footnoteReference w:id="143"/>
      </w:r>
      <w:r w:rsidR="00B00223" w:rsidRPr="00B00223">
        <w:rPr>
          <w:color w:val="000000"/>
        </w:rPr>
        <w:t xml:space="preserve"> It is recorded that seeds for gardens, potatoes, barley and wheat were paid for and distributed to Treaty 4 members. </w:t>
      </w:r>
      <w:r w:rsidR="00DF6361">
        <w:rPr>
          <w:color w:val="000000"/>
        </w:rPr>
        <w:t>Although again</w:t>
      </w:r>
      <w:r w:rsidR="00D04E9E">
        <w:rPr>
          <w:color w:val="000000"/>
        </w:rPr>
        <w:t>,</w:t>
      </w:r>
      <w:r w:rsidR="00B00223" w:rsidRPr="00B00223">
        <w:rPr>
          <w:color w:val="000000"/>
        </w:rPr>
        <w:t xml:space="preserve"> the quantities and band names are</w:t>
      </w:r>
      <w:r w:rsidR="00DF6361">
        <w:rPr>
          <w:color w:val="000000"/>
        </w:rPr>
        <w:t xml:space="preserve"> </w:t>
      </w:r>
      <w:r w:rsidR="00B00223" w:rsidRPr="00B00223">
        <w:rPr>
          <w:color w:val="000000"/>
        </w:rPr>
        <w:t>excluded. These exclusions make it challenging to definitively state whether Pasqua</w:t>
      </w:r>
      <w:r w:rsidR="00DF6361">
        <w:rPr>
          <w:color w:val="000000"/>
        </w:rPr>
        <w:t>s band</w:t>
      </w:r>
      <w:r w:rsidR="00B00223" w:rsidRPr="00B00223">
        <w:rPr>
          <w:color w:val="000000"/>
        </w:rPr>
        <w:t xml:space="preserve"> received adequate amounts of provisions and implements </w:t>
      </w:r>
      <w:r w:rsidR="00DF6361">
        <w:rPr>
          <w:color w:val="000000"/>
        </w:rPr>
        <w:t>throughout</w:t>
      </w:r>
      <w:r w:rsidR="00B00223" w:rsidRPr="00B00223">
        <w:rPr>
          <w:color w:val="000000"/>
        </w:rPr>
        <w:t xml:space="preserve"> this accounting period.</w:t>
      </w:r>
      <w:r w:rsidR="001360E4">
        <w:rPr>
          <w:rStyle w:val="FootnoteReference"/>
          <w:color w:val="000000"/>
        </w:rPr>
        <w:footnoteReference w:id="144"/>
      </w:r>
      <w:r w:rsidR="00B00223" w:rsidRPr="00B00223">
        <w:rPr>
          <w:color w:val="000000"/>
        </w:rPr>
        <w:t xml:space="preserve"> </w:t>
      </w:r>
    </w:p>
    <w:p w14:paraId="4213CB1E" w14:textId="583B62CF" w:rsidR="00B00223" w:rsidRPr="00B00223" w:rsidRDefault="00B00223" w:rsidP="00DF6361">
      <w:pPr>
        <w:spacing w:line="480" w:lineRule="auto"/>
        <w:ind w:firstLine="720"/>
        <w:textAlignment w:val="baseline"/>
        <w:rPr>
          <w:color w:val="000000"/>
        </w:rPr>
      </w:pPr>
      <w:r w:rsidRPr="00B00223">
        <w:rPr>
          <w:color w:val="000000"/>
        </w:rPr>
        <w:t xml:space="preserve">The data collected for the 1884 </w:t>
      </w:r>
      <w:r w:rsidR="00D04E9E">
        <w:rPr>
          <w:color w:val="000000"/>
        </w:rPr>
        <w:t xml:space="preserve">annual </w:t>
      </w:r>
      <w:r w:rsidRPr="00B00223">
        <w:rPr>
          <w:color w:val="000000"/>
        </w:rPr>
        <w:t>report indicated that Pasquas band had a total of 335 (?) acres broken, 127 and 184 acres under crop in 1883 and 1884 respectively, and 275 (?) acres fenced. The band had 133 acres of wheat, 38 acres of barely, 17 acres of potatoes, 6.5 acres of turnips and 3 acres for a garden. Out of these crops, the band harvested 897 bushels of wheat, 216 bushels of barley, 1079 bushels of potatoes, 200 bushels of turnips. In addition, 200 tons of hay were cut. The amounts harvested by Pasquas band stand out among</w:t>
      </w:r>
      <w:r w:rsidR="00DF6361">
        <w:rPr>
          <w:color w:val="000000"/>
        </w:rPr>
        <w:t>st</w:t>
      </w:r>
      <w:r w:rsidRPr="00B00223">
        <w:rPr>
          <w:color w:val="000000"/>
        </w:rPr>
        <w:t xml:space="preserve"> the reports of other Treaty 4 farms, indicating the success of his band.</w:t>
      </w:r>
      <w:r w:rsidR="001360E4">
        <w:rPr>
          <w:rStyle w:val="FootnoteReference"/>
          <w:color w:val="000000"/>
        </w:rPr>
        <w:footnoteReference w:id="145"/>
      </w:r>
      <w:r w:rsidR="006C15D6">
        <w:rPr>
          <w:color w:val="000000"/>
        </w:rPr>
        <w:t xml:space="preserve"> </w:t>
      </w:r>
      <w:r w:rsidRPr="00B00223">
        <w:rPr>
          <w:color w:val="000000"/>
        </w:rPr>
        <w:t>At this time S.</w:t>
      </w:r>
      <w:r w:rsidR="001360E4">
        <w:rPr>
          <w:color w:val="000000"/>
        </w:rPr>
        <w:t xml:space="preserve"> </w:t>
      </w:r>
      <w:r w:rsidRPr="00B00223">
        <w:rPr>
          <w:color w:val="000000"/>
        </w:rPr>
        <w:t xml:space="preserve">Hockley was the farm instructor present in the Qu’Appelle Lake area. Pasquas band had 273 members living on the reserve with 22 houses and 13 stables, along with 13 horses and 4 oxen that were privately </w:t>
      </w:r>
      <w:r w:rsidRPr="00B00223">
        <w:rPr>
          <w:color w:val="000000"/>
        </w:rPr>
        <w:lastRenderedPageBreak/>
        <w:t>owned by band members. In addition, the band had 24 oxen that were given</w:t>
      </w:r>
      <w:r w:rsidR="00DF6361">
        <w:rPr>
          <w:color w:val="000000"/>
        </w:rPr>
        <w:t xml:space="preserve"> to them</w:t>
      </w:r>
      <w:r w:rsidRPr="00B00223">
        <w:rPr>
          <w:color w:val="000000"/>
        </w:rPr>
        <w:t xml:space="preserve"> under treaty or were on loan to them. The private ownership of these animals indicates that the government was </w:t>
      </w:r>
      <w:r w:rsidR="00DF6361">
        <w:rPr>
          <w:color w:val="000000"/>
        </w:rPr>
        <w:t xml:space="preserve">initially </w:t>
      </w:r>
      <w:r w:rsidRPr="00B00223">
        <w:rPr>
          <w:color w:val="000000"/>
        </w:rPr>
        <w:t xml:space="preserve">unwilling to provide adequate quantities of </w:t>
      </w:r>
      <w:r w:rsidR="00D04E9E">
        <w:rPr>
          <w:color w:val="000000"/>
        </w:rPr>
        <w:t>them</w:t>
      </w:r>
      <w:r w:rsidRPr="00B00223">
        <w:rPr>
          <w:color w:val="000000"/>
        </w:rPr>
        <w:t xml:space="preserve"> to bands through the treaty.</w:t>
      </w:r>
      <w:r w:rsidR="001360E4">
        <w:rPr>
          <w:rStyle w:val="FootnoteReference"/>
          <w:color w:val="000000"/>
        </w:rPr>
        <w:footnoteReference w:id="146"/>
      </w:r>
      <w:r w:rsidR="006C15D6">
        <w:rPr>
          <w:color w:val="000000"/>
        </w:rPr>
        <w:t xml:space="preserve"> </w:t>
      </w:r>
      <w:r w:rsidRPr="00B00223">
        <w:rPr>
          <w:color w:val="000000"/>
        </w:rPr>
        <w:t>Out of the 72 families present on Pasquas reserve 33 had a mix of crops. These crops included potatoes, wheat and barley.</w:t>
      </w:r>
      <w:r w:rsidR="001360E4">
        <w:rPr>
          <w:rStyle w:val="FootnoteReference"/>
          <w:color w:val="000000"/>
        </w:rPr>
        <w:footnoteReference w:id="147"/>
      </w:r>
    </w:p>
    <w:p w14:paraId="6B82CFB0" w14:textId="6025CCB5" w:rsidR="006C15D6" w:rsidRPr="006274E2" w:rsidRDefault="00B00223" w:rsidP="006274E2">
      <w:pPr>
        <w:spacing w:line="480" w:lineRule="auto"/>
        <w:ind w:firstLine="720"/>
        <w:textAlignment w:val="baseline"/>
        <w:rPr>
          <w:color w:val="000000"/>
        </w:rPr>
      </w:pPr>
      <w:r w:rsidRPr="00B00223">
        <w:rPr>
          <w:color w:val="000000"/>
        </w:rPr>
        <w:t xml:space="preserve">It is noted by Dewdney that Pasquas band was finding success in cultivation, as “a good deal of crop was in the ground.” </w:t>
      </w:r>
      <w:r w:rsidR="006C15D6" w:rsidRPr="00B00223">
        <w:rPr>
          <w:color w:val="000000"/>
        </w:rPr>
        <w:t xml:space="preserve">This is corroborated in farm instructor S. </w:t>
      </w:r>
      <w:r w:rsidR="00DF6361" w:rsidRPr="00B00223">
        <w:rPr>
          <w:color w:val="000000"/>
        </w:rPr>
        <w:t>Hockley</w:t>
      </w:r>
      <w:r w:rsidR="00DF6361">
        <w:rPr>
          <w:color w:val="000000"/>
        </w:rPr>
        <w:t>’s</w:t>
      </w:r>
      <w:r w:rsidR="006C15D6" w:rsidRPr="00B00223">
        <w:rPr>
          <w:color w:val="000000"/>
        </w:rPr>
        <w:t xml:space="preserve"> letter, as he stated that “very good progress [had] been made” among the bands/reserves under his supervision. In addition, he highlighted the immense amount of effort displayed by Pasquas band, as they “[carried] the rails out on their backs.”</w:t>
      </w:r>
      <w:r w:rsidR="001360E4">
        <w:rPr>
          <w:rStyle w:val="FootnoteReference"/>
          <w:color w:val="000000"/>
        </w:rPr>
        <w:footnoteReference w:id="148"/>
      </w:r>
      <w:r w:rsidR="006C15D6" w:rsidRPr="00B00223">
        <w:rPr>
          <w:color w:val="000000"/>
        </w:rPr>
        <w:t xml:space="preserve"> </w:t>
      </w:r>
      <w:r w:rsidR="006C15D6">
        <w:rPr>
          <w:color w:val="000000"/>
        </w:rPr>
        <w:t>Although progress was made, bands were still struggling due to s</w:t>
      </w:r>
      <w:r w:rsidR="006C15D6" w:rsidRPr="00B00223">
        <w:rPr>
          <w:color w:val="000000"/>
        </w:rPr>
        <w:t>ickness</w:t>
      </w:r>
      <w:r w:rsidR="006C15D6">
        <w:rPr>
          <w:color w:val="000000"/>
        </w:rPr>
        <w:t>es, which was</w:t>
      </w:r>
      <w:r w:rsidR="006C15D6" w:rsidRPr="00B00223">
        <w:rPr>
          <w:color w:val="000000"/>
        </w:rPr>
        <w:t xml:space="preserve"> acknowledged by</w:t>
      </w:r>
      <w:r w:rsidR="00DF6361">
        <w:rPr>
          <w:color w:val="000000"/>
        </w:rPr>
        <w:t xml:space="preserve"> government employees.</w:t>
      </w:r>
      <w:r w:rsidR="006C15D6" w:rsidRPr="00B00223">
        <w:rPr>
          <w:color w:val="000000"/>
        </w:rPr>
        <w:t xml:space="preserve"> Dewdney relaye</w:t>
      </w:r>
      <w:r w:rsidR="006A7C5D">
        <w:rPr>
          <w:color w:val="000000"/>
        </w:rPr>
        <w:t>d</w:t>
      </w:r>
      <w:r w:rsidR="006C15D6" w:rsidRPr="00B00223">
        <w:rPr>
          <w:color w:val="000000"/>
        </w:rPr>
        <w:t xml:space="preserve"> that there was “an unusually large number of deaths.” In addition, he stated that bands were in dire need of fresh meat, as salty foods that were obtained from the government aggravated the diseases that they faced.</w:t>
      </w:r>
      <w:r w:rsidR="001360E4">
        <w:rPr>
          <w:rStyle w:val="FootnoteReference"/>
          <w:color w:val="000000"/>
        </w:rPr>
        <w:footnoteReference w:id="149"/>
      </w:r>
      <w:r w:rsidR="006C15D6">
        <w:rPr>
          <w:color w:val="000000"/>
        </w:rPr>
        <w:t xml:space="preserve"> </w:t>
      </w:r>
      <w:r w:rsidR="006C15D6" w:rsidRPr="00B00223">
        <w:rPr>
          <w:color w:val="000000"/>
        </w:rPr>
        <w:t xml:space="preserve">Sickness among Pasquas band </w:t>
      </w:r>
      <w:r w:rsidR="006C15D6">
        <w:rPr>
          <w:color w:val="000000"/>
        </w:rPr>
        <w:t>wa</w:t>
      </w:r>
      <w:r w:rsidR="006C15D6" w:rsidRPr="00B00223">
        <w:rPr>
          <w:color w:val="000000"/>
        </w:rPr>
        <w:t>s also noted by S. Hockley,</w:t>
      </w:r>
      <w:r w:rsidR="006C15D6">
        <w:rPr>
          <w:color w:val="000000"/>
        </w:rPr>
        <w:t xml:space="preserve"> as </w:t>
      </w:r>
      <w:r w:rsidR="006C15D6" w:rsidRPr="00B00223">
        <w:rPr>
          <w:color w:val="000000"/>
        </w:rPr>
        <w:t xml:space="preserve">he </w:t>
      </w:r>
      <w:r w:rsidR="006C15D6">
        <w:rPr>
          <w:color w:val="000000"/>
        </w:rPr>
        <w:t>recorded that</w:t>
      </w:r>
      <w:r w:rsidR="006C15D6" w:rsidRPr="00B00223">
        <w:rPr>
          <w:color w:val="000000"/>
        </w:rPr>
        <w:t xml:space="preserve"> 4 deaths ha</w:t>
      </w:r>
      <w:r w:rsidR="006C15D6">
        <w:rPr>
          <w:color w:val="000000"/>
        </w:rPr>
        <w:t>d occurred</w:t>
      </w:r>
      <w:r w:rsidR="006C15D6" w:rsidRPr="00B00223">
        <w:rPr>
          <w:color w:val="000000"/>
        </w:rPr>
        <w:t>.</w:t>
      </w:r>
      <w:r w:rsidR="001360E4">
        <w:rPr>
          <w:rStyle w:val="FootnoteReference"/>
          <w:color w:val="000000"/>
        </w:rPr>
        <w:footnoteReference w:id="150"/>
      </w:r>
      <w:r w:rsidR="001360E4">
        <w:rPr>
          <w:color w:val="000000"/>
        </w:rPr>
        <w:t xml:space="preserve"> </w:t>
      </w:r>
      <w:r w:rsidR="009B425D">
        <w:rPr>
          <w:color w:val="000000"/>
        </w:rPr>
        <w:t>In addition</w:t>
      </w:r>
      <w:r w:rsidR="00D04E9E">
        <w:rPr>
          <w:color w:val="000000"/>
        </w:rPr>
        <w:t>,</w:t>
      </w:r>
      <w:r w:rsidR="009B425D">
        <w:rPr>
          <w:color w:val="000000"/>
        </w:rPr>
        <w:t xml:space="preserve"> sickness</w:t>
      </w:r>
      <w:r w:rsidR="009B425D" w:rsidRPr="00B00223">
        <w:rPr>
          <w:color w:val="000000"/>
        </w:rPr>
        <w:t xml:space="preserve"> is noted in</w:t>
      </w:r>
      <w:r w:rsidR="009B425D">
        <w:rPr>
          <w:color w:val="000000"/>
        </w:rPr>
        <w:t xml:space="preserve"> </w:t>
      </w:r>
      <w:r w:rsidR="00D04E9E">
        <w:rPr>
          <w:color w:val="000000"/>
        </w:rPr>
        <w:t xml:space="preserve">A. </w:t>
      </w:r>
      <w:r w:rsidR="001360E4">
        <w:rPr>
          <w:color w:val="000000"/>
        </w:rPr>
        <w:t>Macdonald’s</w:t>
      </w:r>
      <w:r w:rsidR="009B425D">
        <w:rPr>
          <w:color w:val="000000"/>
        </w:rPr>
        <w:t xml:space="preserve"> 1884 </w:t>
      </w:r>
      <w:r w:rsidR="009B425D" w:rsidRPr="00B00223">
        <w:rPr>
          <w:color w:val="000000"/>
        </w:rPr>
        <w:t>letter</w:t>
      </w:r>
      <w:r w:rsidR="009B425D">
        <w:rPr>
          <w:color w:val="000000"/>
        </w:rPr>
        <w:t xml:space="preserve"> to the </w:t>
      </w:r>
      <w:r w:rsidR="00DF6361">
        <w:rPr>
          <w:color w:val="000000"/>
        </w:rPr>
        <w:t>Superintendent</w:t>
      </w:r>
      <w:r w:rsidR="009B425D">
        <w:rPr>
          <w:color w:val="000000"/>
        </w:rPr>
        <w:t xml:space="preserve"> General of Indian Affairs</w:t>
      </w:r>
      <w:r w:rsidR="00DF6361">
        <w:rPr>
          <w:color w:val="000000"/>
        </w:rPr>
        <w:t>,</w:t>
      </w:r>
      <w:r w:rsidR="009B425D" w:rsidRPr="00B00223">
        <w:rPr>
          <w:color w:val="000000"/>
        </w:rPr>
        <w:t xml:space="preserve"> pointing to a lack of medical attention and/or a doctor. However, </w:t>
      </w:r>
      <w:r w:rsidR="00DF6361" w:rsidRPr="00B00223">
        <w:rPr>
          <w:color w:val="000000"/>
        </w:rPr>
        <w:t>Macdonald</w:t>
      </w:r>
      <w:r w:rsidR="009B425D" w:rsidRPr="00B00223">
        <w:rPr>
          <w:color w:val="000000"/>
        </w:rPr>
        <w:t xml:space="preserve"> claims that these mortalities were caused by consumption, which highlights the presence and impact of alcohol</w:t>
      </w:r>
      <w:r w:rsidR="00DF6361">
        <w:rPr>
          <w:color w:val="000000"/>
        </w:rPr>
        <w:t>,</w:t>
      </w:r>
      <w:r w:rsidR="006274E2">
        <w:rPr>
          <w:color w:val="000000"/>
        </w:rPr>
        <w:t xml:space="preserve"> which was supposed to be restricted on reserves</w:t>
      </w:r>
      <w:r w:rsidR="006A7C5D">
        <w:rPr>
          <w:color w:val="000000"/>
        </w:rPr>
        <w:t xml:space="preserve"> as stipulated in Treaty 4</w:t>
      </w:r>
      <w:r w:rsidR="00DF6361">
        <w:rPr>
          <w:color w:val="000000"/>
        </w:rPr>
        <w:t>.</w:t>
      </w:r>
      <w:r w:rsidR="001360E4">
        <w:rPr>
          <w:rStyle w:val="FootnoteReference"/>
          <w:color w:val="000000"/>
        </w:rPr>
        <w:footnoteReference w:id="151"/>
      </w:r>
      <w:r w:rsidR="009B425D" w:rsidRPr="00B00223">
        <w:rPr>
          <w:color w:val="000000"/>
        </w:rPr>
        <w:t> </w:t>
      </w:r>
    </w:p>
    <w:p w14:paraId="00000037" w14:textId="77777777" w:rsidR="000E25E9" w:rsidRPr="00C517CD" w:rsidRDefault="00A5386A" w:rsidP="00B00223">
      <w:pPr>
        <w:spacing w:line="480" w:lineRule="auto"/>
        <w:jc w:val="center"/>
      </w:pPr>
      <w:r w:rsidRPr="00C517CD">
        <w:rPr>
          <w:b/>
        </w:rPr>
        <w:lastRenderedPageBreak/>
        <w:t xml:space="preserve">Conclusion </w:t>
      </w:r>
    </w:p>
    <w:p w14:paraId="35D42578" w14:textId="4059DA77" w:rsidR="00056D95" w:rsidRDefault="00A5386A" w:rsidP="00D04E9E">
      <w:pPr>
        <w:spacing w:line="480" w:lineRule="auto"/>
        <w:ind w:firstLine="720"/>
      </w:pPr>
      <w:r w:rsidRPr="00C517CD">
        <w:t xml:space="preserve">Promises made by agents throughout the negotiation of Treaty 4 were used as a method to sooth the worries of band members and chiefs. These promises were deployed by the Crown in order to gain the possession of Indigenous lands </w:t>
      </w:r>
      <w:r w:rsidR="00D31077" w:rsidRPr="00C517CD">
        <w:t xml:space="preserve">in a </w:t>
      </w:r>
      <w:r w:rsidRPr="00C517CD">
        <w:t>peaceful manner. However, in most cases bands never received what was orally promised to them, as these terms were not explicitly mentioned in the written document. The different interpretations of the treaty had negative impacts on the bands of Treaty 4</w:t>
      </w:r>
      <w:r w:rsidR="00D04E9E">
        <w:t>, as they surrendered their land for many empty promises</w:t>
      </w:r>
      <w:r w:rsidRPr="00C517CD">
        <w:t>.</w:t>
      </w:r>
      <w:r w:rsidRPr="00C517CD">
        <w:rPr>
          <w:rStyle w:val="FootnoteReference"/>
        </w:rPr>
        <w:footnoteReference w:id="152"/>
      </w:r>
      <w:r w:rsidRPr="00C517CD">
        <w:t xml:space="preserve"> Chief Pasqua sought to gain recognition of the shortcomings of this treaty, but was instead </w:t>
      </w:r>
      <w:r w:rsidR="00D04E9E">
        <w:t xml:space="preserve">initially </w:t>
      </w:r>
      <w:r w:rsidRPr="00C517CD">
        <w:t>painted as a liar, lazy and greedy. These depictions stemmed from harmful myths that Indigenous peoples of the Plains were incapable of farming and were using treaties as a way to continue their ‘idleness.’</w:t>
      </w:r>
      <w:r w:rsidRPr="00C517CD">
        <w:rPr>
          <w:rStyle w:val="FootnoteReference"/>
        </w:rPr>
        <w:footnoteReference w:id="153"/>
      </w:r>
      <w:r w:rsidRPr="00C517CD">
        <w:t xml:space="preserve"> Pasqua, along with the many other chiefs included in Treaty 4, did not receive goods in adequate quantities or quality and were in a constant struggle to obtain the promised items in a punctual manner. </w:t>
      </w:r>
      <w:r w:rsidR="00D04E9E">
        <w:t>Due to this, many attempts were made by treaty signatories to have their treaty renegotiated to incorporate not only what was excluded from oral promises, but also to account for the treaty’s inadequacies, such as the insufficient amount of oxen and farm instructors given to each band, the incorrect types of seed disbursed, as well as the lack of implements needed to farm successfully.</w:t>
      </w:r>
      <w:r w:rsidR="00F152CC">
        <w:rPr>
          <w:rStyle w:val="FootnoteReference"/>
        </w:rPr>
        <w:footnoteReference w:id="154"/>
      </w:r>
      <w:r w:rsidR="00D04E9E">
        <w:t xml:space="preserve"> </w:t>
      </w:r>
      <w:r w:rsidRPr="00C517CD">
        <w:t xml:space="preserve">The combined failure of all of these factors played a substantial role in the </w:t>
      </w:r>
      <w:r w:rsidR="00AB2E65" w:rsidRPr="00C517CD">
        <w:t xml:space="preserve">lack of </w:t>
      </w:r>
      <w:r w:rsidRPr="00C517CD">
        <w:t xml:space="preserve">stability, success and prosperity of Pasquas band. </w:t>
      </w:r>
    </w:p>
    <w:p w14:paraId="497597E6" w14:textId="41E710F5" w:rsidR="00531C0F" w:rsidRPr="00C517CD" w:rsidRDefault="00D04E9E" w:rsidP="006274E2">
      <w:pPr>
        <w:spacing w:line="480" w:lineRule="auto"/>
        <w:ind w:firstLine="720"/>
      </w:pPr>
      <w:r>
        <w:t>During the ‘Initial Settlement’ era Pasquas band did not receive the correct amount of provisions, implements and livestock that was promised under treaty.</w:t>
      </w:r>
      <w:r w:rsidR="00F152CC">
        <w:rPr>
          <w:rStyle w:val="FootnoteReference"/>
        </w:rPr>
        <w:footnoteReference w:id="155"/>
      </w:r>
      <w:r w:rsidR="00F152CC">
        <w:t xml:space="preserve"> </w:t>
      </w:r>
      <w:r>
        <w:t xml:space="preserve">This was highlighted through the information recorded in his pictographs, as he noted that his band </w:t>
      </w:r>
      <w:r w:rsidRPr="00C517CD">
        <w:t>recei</w:t>
      </w:r>
      <w:r>
        <w:t>ved</w:t>
      </w:r>
      <w:r w:rsidRPr="00C517CD">
        <w:t xml:space="preserve"> </w:t>
      </w:r>
      <w:r>
        <w:t xml:space="preserve">only </w:t>
      </w:r>
      <w:r w:rsidRPr="00C517CD">
        <w:t xml:space="preserve">12 </w:t>
      </w:r>
      <w:r w:rsidRPr="00C517CD">
        <w:lastRenderedPageBreak/>
        <w:t>out of the promised 70 of both spades and scythes, as well as being given only 24 hoes out of the promised 140.</w:t>
      </w:r>
      <w:r w:rsidRPr="00C517CD">
        <w:rPr>
          <w:rStyle w:val="FootnoteReference"/>
        </w:rPr>
        <w:footnoteReference w:id="156"/>
      </w:r>
      <w:r>
        <w:t xml:space="preserve"> The ‘Home</w:t>
      </w:r>
      <w:r w:rsidR="006A7C5D">
        <w:t xml:space="preserve"> Farm</w:t>
      </w:r>
      <w:r>
        <w:t xml:space="preserve"> Policy’ era was a time marked by many contrasting views, as well as records limited in the information that they provided. Although government employees kept records for the freighting and payment of implements, provisions and livestock provided to Treaty 4 areas, it is challenging to conclusively ascertain through these documents/tables whether </w:t>
      </w:r>
      <w:r w:rsidR="001360E4">
        <w:t>Pasquas</w:t>
      </w:r>
      <w:r>
        <w:t xml:space="preserve"> band received the correct quantities of what was stipulated in the treaty. Throughout this era, Pasquas band faced many challenges, most of which point to an insufficient amount of supplies and assistance. In addition, the fulfillment of education for bands was yet to be accomplished at this time. Bands continued to show their dedication to not only the relationship established through Treaty 4, but also to the success of their own reserves. However, the government placed a higher emphasis on the success of their own farm instructors, supplying them with the necessary goods instead of the bands.</w:t>
      </w:r>
      <w:r w:rsidR="00056D95">
        <w:rPr>
          <w:rStyle w:val="FootnoteReference"/>
        </w:rPr>
        <w:footnoteReference w:id="157"/>
      </w:r>
      <w:r>
        <w:t xml:space="preserve"> All of these factors indicate that </w:t>
      </w:r>
      <w:r w:rsidR="001360E4">
        <w:t>Pasquas</w:t>
      </w:r>
      <w:r>
        <w:t xml:space="preserve"> band did not receive all that was promised during the negotiations of Treaty 4. </w:t>
      </w:r>
    </w:p>
    <w:p w14:paraId="3E0B5EE5" w14:textId="77777777" w:rsidR="00BA6375" w:rsidRDefault="00BA6375">
      <w:pPr>
        <w:spacing w:line="480" w:lineRule="auto"/>
        <w:jc w:val="center"/>
        <w:rPr>
          <w:b/>
        </w:rPr>
      </w:pPr>
    </w:p>
    <w:p w14:paraId="389AB4F1" w14:textId="77777777" w:rsidR="00BA6375" w:rsidRDefault="00BA6375">
      <w:pPr>
        <w:spacing w:line="480" w:lineRule="auto"/>
        <w:jc w:val="center"/>
        <w:rPr>
          <w:b/>
        </w:rPr>
      </w:pPr>
    </w:p>
    <w:p w14:paraId="33A8EB7C" w14:textId="77777777" w:rsidR="00BA6375" w:rsidRDefault="00BA6375">
      <w:pPr>
        <w:spacing w:line="480" w:lineRule="auto"/>
        <w:jc w:val="center"/>
        <w:rPr>
          <w:b/>
        </w:rPr>
      </w:pPr>
    </w:p>
    <w:p w14:paraId="3A2A0DD8" w14:textId="77777777" w:rsidR="00BA6375" w:rsidRDefault="00BA6375">
      <w:pPr>
        <w:spacing w:line="480" w:lineRule="auto"/>
        <w:jc w:val="center"/>
        <w:rPr>
          <w:b/>
        </w:rPr>
      </w:pPr>
    </w:p>
    <w:p w14:paraId="19F4BB10" w14:textId="77777777" w:rsidR="00BA6375" w:rsidRDefault="00BA6375">
      <w:pPr>
        <w:spacing w:line="480" w:lineRule="auto"/>
        <w:jc w:val="center"/>
        <w:rPr>
          <w:b/>
        </w:rPr>
      </w:pPr>
    </w:p>
    <w:p w14:paraId="45A1A0F6" w14:textId="77777777" w:rsidR="00BA6375" w:rsidRDefault="00BA6375">
      <w:pPr>
        <w:spacing w:line="480" w:lineRule="auto"/>
        <w:jc w:val="center"/>
        <w:rPr>
          <w:b/>
        </w:rPr>
      </w:pPr>
    </w:p>
    <w:p w14:paraId="3EF57FAA" w14:textId="77777777" w:rsidR="00BA6375" w:rsidRDefault="00BA6375">
      <w:pPr>
        <w:spacing w:line="480" w:lineRule="auto"/>
        <w:jc w:val="center"/>
        <w:rPr>
          <w:b/>
        </w:rPr>
      </w:pPr>
    </w:p>
    <w:p w14:paraId="160B2716" w14:textId="77777777" w:rsidR="00BA6375" w:rsidRDefault="00BA6375">
      <w:pPr>
        <w:spacing w:line="480" w:lineRule="auto"/>
        <w:jc w:val="center"/>
        <w:rPr>
          <w:b/>
        </w:rPr>
      </w:pPr>
    </w:p>
    <w:p w14:paraId="00000039" w14:textId="6B2F70E6" w:rsidR="000E25E9" w:rsidRPr="00C517CD" w:rsidRDefault="00A5386A">
      <w:pPr>
        <w:spacing w:line="480" w:lineRule="auto"/>
        <w:jc w:val="center"/>
        <w:rPr>
          <w:b/>
        </w:rPr>
      </w:pPr>
      <w:r w:rsidRPr="00C517CD">
        <w:rPr>
          <w:b/>
        </w:rPr>
        <w:lastRenderedPageBreak/>
        <w:t xml:space="preserve">Bibliography </w:t>
      </w:r>
    </w:p>
    <w:p w14:paraId="01A66B82" w14:textId="77777777" w:rsidR="002048F0" w:rsidRPr="00C517CD" w:rsidRDefault="002048F0" w:rsidP="004C6009">
      <w:pPr>
        <w:spacing w:before="240" w:after="240"/>
        <w:ind w:left="720" w:hanging="720"/>
        <w:rPr>
          <w:color w:val="000000"/>
        </w:rPr>
      </w:pPr>
      <w:r w:rsidRPr="00C517CD">
        <w:rPr>
          <w:color w:val="000000"/>
          <w:shd w:val="clear" w:color="auto" w:fill="FFFFFF"/>
        </w:rPr>
        <w:t>Albers, Gretchen. “Excerpt: A Treaty 4 First Nation’s Agricultural Benefits Expert Report.” Cochrane, AB: Historical Resources</w:t>
      </w:r>
      <w:r w:rsidRPr="00C517CD">
        <w:rPr>
          <w:color w:val="262626"/>
          <w:shd w:val="clear" w:color="auto" w:fill="FFFFFF"/>
        </w:rPr>
        <w:t xml:space="preserve">, </w:t>
      </w:r>
      <w:r w:rsidRPr="00C517CD">
        <w:rPr>
          <w:color w:val="000000"/>
          <w:shd w:val="clear" w:color="auto" w:fill="FFFFFF"/>
        </w:rPr>
        <w:t>2020. </w:t>
      </w:r>
    </w:p>
    <w:p w14:paraId="68771A4A" w14:textId="77777777" w:rsidR="002048F0" w:rsidRPr="00C517CD" w:rsidRDefault="002048F0" w:rsidP="004C6009">
      <w:pPr>
        <w:spacing w:before="240" w:after="240"/>
        <w:ind w:left="720" w:hanging="720"/>
        <w:rPr>
          <w:color w:val="000000"/>
        </w:rPr>
      </w:pPr>
      <w:r w:rsidRPr="00C517CD">
        <w:rPr>
          <w:color w:val="000000"/>
          <w:shd w:val="clear" w:color="auto" w:fill="FFFFFF"/>
        </w:rPr>
        <w:t xml:space="preserve">Beal, Bob. “An Indian Chief, an English Tourist, A Doctor, A Reverend, and a Member of Parliament: The Journeys of Pasqua’s Pictographs and the Meaning of Treaty Four;” and Chief Pasqua’s Treaty Panel,” and “Chief Pasqua’s Provisions Panel.” </w:t>
      </w:r>
      <w:r w:rsidRPr="00C517CD">
        <w:rPr>
          <w:i/>
          <w:iCs/>
          <w:color w:val="000000"/>
          <w:shd w:val="clear" w:color="auto" w:fill="FFFFFF"/>
        </w:rPr>
        <w:t xml:space="preserve">The Canadian Journal of Native Studies </w:t>
      </w:r>
      <w:r w:rsidRPr="00C517CD">
        <w:rPr>
          <w:color w:val="000000"/>
          <w:shd w:val="clear" w:color="auto" w:fill="FFFFFF"/>
        </w:rPr>
        <w:t>27, no. 1 (2007).</w:t>
      </w:r>
    </w:p>
    <w:p w14:paraId="3C386E56" w14:textId="6E2E4AF1" w:rsidR="002048F0" w:rsidRDefault="002048F0" w:rsidP="004C6009">
      <w:pPr>
        <w:spacing w:before="240" w:after="240"/>
        <w:ind w:left="720" w:hanging="720"/>
        <w:rPr>
          <w:color w:val="000000"/>
          <w:shd w:val="clear" w:color="auto" w:fill="FFFFFF"/>
        </w:rPr>
      </w:pPr>
      <w:r w:rsidRPr="00C517CD">
        <w:rPr>
          <w:color w:val="000000"/>
          <w:shd w:val="clear" w:color="auto" w:fill="FFFFFF"/>
        </w:rPr>
        <w:t>Carter, Sarah. “We Must Farm to Enable Us to Live: The Plains Cree in Agriculture in 1900.” In unknown journal, chapter 19, 2013.  </w:t>
      </w:r>
    </w:p>
    <w:p w14:paraId="00FDF5CB" w14:textId="48EC36AF" w:rsidR="00D04E9E" w:rsidRPr="00D04E9E" w:rsidRDefault="00D04E9E" w:rsidP="00D04E9E">
      <w:pPr>
        <w:spacing w:after="180"/>
        <w:ind w:left="720" w:hanging="720"/>
        <w:rPr>
          <w:color w:val="000000"/>
        </w:rPr>
      </w:pPr>
      <w:r w:rsidRPr="00C517CD">
        <w:rPr>
          <w:color w:val="000000"/>
          <w:shd w:val="clear" w:color="auto" w:fill="FFFFFF"/>
        </w:rPr>
        <w:t>-------- “</w:t>
      </w:r>
      <w:proofErr w:type="spellStart"/>
      <w:r w:rsidRPr="00C517CD">
        <w:rPr>
          <w:color w:val="000000"/>
          <w:shd w:val="clear" w:color="auto" w:fill="FFFFFF"/>
        </w:rPr>
        <w:t>McKAY</w:t>
      </w:r>
      <w:proofErr w:type="spellEnd"/>
      <w:r w:rsidRPr="00C517CD">
        <w:rPr>
          <w:color w:val="000000"/>
          <w:shd w:val="clear" w:color="auto" w:fill="FFFFFF"/>
        </w:rPr>
        <w:t xml:space="preserve">, ANGUS.” In </w:t>
      </w:r>
      <w:r w:rsidRPr="00C517CD">
        <w:rPr>
          <w:i/>
          <w:iCs/>
          <w:color w:val="000000"/>
          <w:shd w:val="clear" w:color="auto" w:fill="FFFFFF"/>
        </w:rPr>
        <w:t>Dictionary of Canadian Biography</w:t>
      </w:r>
      <w:r w:rsidRPr="00C517CD">
        <w:rPr>
          <w:color w:val="000000"/>
          <w:shd w:val="clear" w:color="auto" w:fill="FFFFFF"/>
        </w:rPr>
        <w:t>12. University of Toronto/</w:t>
      </w:r>
      <w:proofErr w:type="spellStart"/>
      <w:r w:rsidRPr="00C517CD">
        <w:rPr>
          <w:color w:val="000000"/>
          <w:shd w:val="clear" w:color="auto" w:fill="FFFFFF"/>
        </w:rPr>
        <w:t>Université</w:t>
      </w:r>
      <w:proofErr w:type="spellEnd"/>
      <w:r w:rsidRPr="00C517CD">
        <w:rPr>
          <w:color w:val="000000"/>
          <w:shd w:val="clear" w:color="auto" w:fill="FFFFFF"/>
        </w:rPr>
        <w:t xml:space="preserve"> Laval, 2003. http://www.biographi.ca/en/bio/mckay_angus_12E.html.</w:t>
      </w:r>
    </w:p>
    <w:p w14:paraId="43EAF40A" w14:textId="6C838C57" w:rsidR="00D04E9E" w:rsidRDefault="00D04E9E" w:rsidP="00D04E9E">
      <w:pPr>
        <w:ind w:left="720" w:hanging="720"/>
        <w:rPr>
          <w:color w:val="000000"/>
        </w:rPr>
      </w:pPr>
      <w:r w:rsidRPr="00D04E9E">
        <w:rPr>
          <w:color w:val="000000"/>
        </w:rPr>
        <w:t xml:space="preserve">Canada. </w:t>
      </w:r>
      <w:r w:rsidRPr="00D04E9E">
        <w:rPr>
          <w:i/>
          <w:iCs/>
          <w:color w:val="000000"/>
        </w:rPr>
        <w:t>Sessional Papers.</w:t>
      </w:r>
      <w:r w:rsidRPr="00D04E9E">
        <w:rPr>
          <w:color w:val="000000"/>
        </w:rPr>
        <w:t xml:space="preserve"> Annual Reports of the Department of Indian Affairs for the year ended 31 Dec., 1880. A. MacDonald to Superintendent General of Indian Affairs </w:t>
      </w:r>
      <w:r w:rsidR="006274E2">
        <w:rPr>
          <w:color w:val="000000"/>
        </w:rPr>
        <w:t xml:space="preserve">and </w:t>
      </w:r>
      <w:r w:rsidR="006274E2" w:rsidRPr="00D04E9E">
        <w:rPr>
          <w:color w:val="000000"/>
        </w:rPr>
        <w:t>Edwin</w:t>
      </w:r>
      <w:r w:rsidRPr="00D04E9E">
        <w:rPr>
          <w:color w:val="000000"/>
        </w:rPr>
        <w:t xml:space="preserve"> </w:t>
      </w:r>
      <w:r w:rsidR="006274E2">
        <w:rPr>
          <w:color w:val="000000"/>
        </w:rPr>
        <w:t>A</w:t>
      </w:r>
      <w:r w:rsidRPr="00D04E9E">
        <w:rPr>
          <w:color w:val="000000"/>
        </w:rPr>
        <w:t>llen to the superintendent general of Indian Affairs (104-107); Table farming agencies and Indian reservations (125-6); Table General Account- Indians to Manitoba and North-West (230); Table A. Indians of Manitoba and North-West (232-3; Table B. Indians of Manitoba and North-West - Agricultural Implements etc. (227, 243, 244); and Table C. Indians of Manitoba and North-West, Provisions at annuity payments and relief  (254, 255)</w:t>
      </w:r>
    </w:p>
    <w:p w14:paraId="35F5A3EB" w14:textId="084B1A68" w:rsidR="00D04E9E" w:rsidRPr="00D04E9E" w:rsidRDefault="00D04E9E" w:rsidP="00F152CC">
      <w:pPr>
        <w:pStyle w:val="NormalWeb"/>
        <w:spacing w:before="240" w:beforeAutospacing="0" w:after="240" w:afterAutospacing="0"/>
        <w:ind w:left="720" w:hanging="720"/>
        <w:rPr>
          <w:color w:val="000000"/>
        </w:rPr>
      </w:pPr>
      <w:r w:rsidRPr="00D04E9E">
        <w:rPr>
          <w:color w:val="000000"/>
        </w:rPr>
        <w:t xml:space="preserve">Canada. </w:t>
      </w:r>
      <w:r w:rsidRPr="00D04E9E">
        <w:rPr>
          <w:i/>
          <w:iCs/>
          <w:color w:val="000000"/>
        </w:rPr>
        <w:t>Sessional Papers.</w:t>
      </w:r>
      <w:r w:rsidRPr="00D04E9E">
        <w:rPr>
          <w:color w:val="000000"/>
        </w:rPr>
        <w:t xml:space="preserve"> Annual Report of the Department of Indian Affairs for the year ended 31 </w:t>
      </w:r>
      <w:proofErr w:type="gramStart"/>
      <w:r w:rsidRPr="00D04E9E">
        <w:rPr>
          <w:color w:val="000000"/>
        </w:rPr>
        <w:t>Dec.,</w:t>
      </w:r>
      <w:proofErr w:type="gramEnd"/>
      <w:r w:rsidRPr="00D04E9E">
        <w:rPr>
          <w:color w:val="000000"/>
        </w:rPr>
        <w:t xml:space="preserve"> 1881. Extracts complied by John A. Macdonald in his annual report as Superintendent General of Indian Affairs: Fort Ellice, N.W.T. 26 Jan., 1881 (likely by Agent A. Macdonald)(xxxii-xxxiv; Fort Ellice, 27 Sept. 1881 (likely by Agent A. Macdonald)(xxxiv-xxxv); Quotations from Annual Report of the Indian Commissioner (xxxv-xxxvi); in the last page xxxvi Macdonald writes of the Governor General’s Visit to the North West.; Edgar Dewdney’s report to the Superintendent General of Indian Affairs, 1st January, 1882 (37-55) including tables; Table of Number of Indians in the North-West Territories and Whereabouts (56); no report on treaty 4 from Indian Agent Macdonald; Table A. Indians of Manitoba and North-West - annuities under treaty (112); Table B. Agricultural Implements and Cattle (121-4); and Table H. Indians of Manitoba and North-West - employees and salaries (158)</w:t>
      </w:r>
    </w:p>
    <w:p w14:paraId="2B9E4FA1" w14:textId="77777777" w:rsidR="00D04E9E" w:rsidRPr="00D04E9E" w:rsidRDefault="00D04E9E" w:rsidP="00D04E9E">
      <w:pPr>
        <w:pStyle w:val="NormalWeb"/>
        <w:spacing w:before="240" w:beforeAutospacing="0" w:after="240" w:afterAutospacing="0"/>
        <w:ind w:left="720" w:hanging="720"/>
        <w:rPr>
          <w:color w:val="000000"/>
        </w:rPr>
      </w:pPr>
      <w:r w:rsidRPr="00D04E9E">
        <w:rPr>
          <w:color w:val="000000"/>
        </w:rPr>
        <w:t xml:space="preserve">Canada. </w:t>
      </w:r>
      <w:r w:rsidRPr="00D04E9E">
        <w:rPr>
          <w:i/>
          <w:iCs/>
          <w:color w:val="000000"/>
        </w:rPr>
        <w:t>Sessional Papers</w:t>
      </w:r>
      <w:r w:rsidRPr="00D04E9E">
        <w:rPr>
          <w:color w:val="000000"/>
        </w:rPr>
        <w:t xml:space="preserve">. Annual Report of the Department of Indian </w:t>
      </w:r>
      <w:proofErr w:type="spellStart"/>
      <w:r w:rsidRPr="00D04E9E">
        <w:rPr>
          <w:color w:val="000000"/>
        </w:rPr>
        <w:t>Affiars</w:t>
      </w:r>
      <w:proofErr w:type="spellEnd"/>
      <w:r w:rsidRPr="00D04E9E">
        <w:rPr>
          <w:color w:val="000000"/>
        </w:rPr>
        <w:t xml:space="preserve"> for the year ended 31 </w:t>
      </w:r>
      <w:proofErr w:type="gramStart"/>
      <w:r w:rsidRPr="00D04E9E">
        <w:rPr>
          <w:color w:val="000000"/>
        </w:rPr>
        <w:t>Dec.,</w:t>
      </w:r>
      <w:proofErr w:type="gramEnd"/>
      <w:r w:rsidRPr="00D04E9E">
        <w:rPr>
          <w:color w:val="000000"/>
        </w:rPr>
        <w:t xml:space="preserve"> 1882. Table B Indians of Manitoba and North-West - implements (126-7);Table C Indians of Manitoba and North-West - implements Treaty 4 (130-1); Table D Indians of Manitoba and North-West - cattle (132-3); Table F Indians of Manitoba and North-West - expenditures (142); Extract from letter by T.P. Wadsworth to the Superintendent General of Indian Affairs, 9 Dec., 1882.; Extract from the report of E. Dewdney on </w:t>
      </w:r>
      <w:proofErr w:type="spellStart"/>
      <w:r w:rsidRPr="00D04E9E">
        <w:rPr>
          <w:color w:val="000000"/>
        </w:rPr>
        <w:t>Pasquah</w:t>
      </w:r>
      <w:proofErr w:type="spellEnd"/>
      <w:r w:rsidRPr="00D04E9E">
        <w:rPr>
          <w:color w:val="000000"/>
        </w:rPr>
        <w:t xml:space="preserve"> - one paragraph (198); Table of Number of </w:t>
      </w:r>
      <w:proofErr w:type="spellStart"/>
      <w:r w:rsidRPr="00D04E9E">
        <w:rPr>
          <w:color w:val="000000"/>
        </w:rPr>
        <w:t>Inidans</w:t>
      </w:r>
      <w:proofErr w:type="spellEnd"/>
      <w:r w:rsidRPr="00D04E9E">
        <w:rPr>
          <w:color w:val="000000"/>
        </w:rPr>
        <w:t xml:space="preserve"> in the North-West Territories and their whereabouts (201); A. Macdonald report 9 May, 1881 (204-207); A. Macdonald report 28 Dec., 1882 (260-1); Table of Farming Agencies and Indian Reservations </w:t>
      </w:r>
      <w:r w:rsidRPr="00D04E9E">
        <w:rPr>
          <w:color w:val="000000"/>
        </w:rPr>
        <w:lastRenderedPageBreak/>
        <w:t xml:space="preserve">Statistics (264-5); and Table of Farming Agencies and Indian Reservations Statistics (270-1). </w:t>
      </w:r>
    </w:p>
    <w:p w14:paraId="7361A47C" w14:textId="0DABC43E" w:rsidR="00D04E9E" w:rsidRPr="00D04E9E" w:rsidRDefault="00D04E9E" w:rsidP="00D04E9E">
      <w:pPr>
        <w:pStyle w:val="NormalWeb"/>
        <w:spacing w:before="240" w:beforeAutospacing="0" w:after="240" w:afterAutospacing="0"/>
        <w:ind w:left="720" w:hanging="720"/>
        <w:rPr>
          <w:color w:val="000000"/>
        </w:rPr>
      </w:pPr>
      <w:r w:rsidRPr="00D04E9E">
        <w:rPr>
          <w:color w:val="000000"/>
        </w:rPr>
        <w:t xml:space="preserve">Canada. </w:t>
      </w:r>
      <w:r w:rsidRPr="00D04E9E">
        <w:rPr>
          <w:i/>
          <w:iCs/>
          <w:color w:val="000000"/>
        </w:rPr>
        <w:t>Sessional Papers.</w:t>
      </w:r>
      <w:r w:rsidRPr="00D04E9E">
        <w:rPr>
          <w:color w:val="000000"/>
        </w:rPr>
        <w:t xml:space="preserve"> Annual Report of the Department of Indian Affairs for the year ended 31 </w:t>
      </w:r>
      <w:proofErr w:type="gramStart"/>
      <w:r w:rsidRPr="00D04E9E">
        <w:rPr>
          <w:color w:val="000000"/>
        </w:rPr>
        <w:t>Dec.,</w:t>
      </w:r>
      <w:proofErr w:type="gramEnd"/>
      <w:r w:rsidRPr="00D04E9E">
        <w:rPr>
          <w:color w:val="000000"/>
        </w:rPr>
        <w:t xml:space="preserve"> 1883. Annual Report of A.</w:t>
      </w:r>
      <w:r w:rsidR="006274E2">
        <w:rPr>
          <w:color w:val="000000"/>
        </w:rPr>
        <w:t xml:space="preserve"> </w:t>
      </w:r>
      <w:r w:rsidRPr="00D04E9E">
        <w:rPr>
          <w:color w:val="000000"/>
        </w:rPr>
        <w:t>Macdonald 6 July, 1883 (69-75) + A. Macdonald letter 31 Aug., 1883 (75-6): E. Dewdney to the Superintendent General of Indian Affairs 2 Oct., 1883 (98-100); Report of T.P. Wadsworth, 9 Oct., 1883 (117-9); Table B Indians of Manitoba and the North-West (12 7-8); Table C Indians of Manitoba and the North-West Expenditures - tools (130); Table D Indians of Manitoba and the North-West Cattle (132);Table F Indians of Manitoba and the North-West ammunition and twine (137); Table of Farming Agencies (192-3); Table of Farming Agencies (198-9); and Number of Indians in the North-West Territories and their whereabouts (204).</w:t>
      </w:r>
    </w:p>
    <w:p w14:paraId="1C19BA1C" w14:textId="77777777" w:rsidR="00D04E9E" w:rsidRDefault="00D04E9E" w:rsidP="00D04E9E">
      <w:pPr>
        <w:pStyle w:val="NormalWeb"/>
        <w:spacing w:before="240" w:beforeAutospacing="0" w:after="0" w:afterAutospacing="0"/>
        <w:ind w:left="720" w:hanging="720"/>
        <w:textAlignment w:val="baseline"/>
        <w:rPr>
          <w:color w:val="000000"/>
        </w:rPr>
      </w:pPr>
      <w:r w:rsidRPr="00D04E9E">
        <w:rPr>
          <w:color w:val="000000"/>
        </w:rPr>
        <w:t xml:space="preserve">Canada. </w:t>
      </w:r>
      <w:r w:rsidRPr="00D04E9E">
        <w:rPr>
          <w:i/>
          <w:iCs/>
          <w:color w:val="000000"/>
        </w:rPr>
        <w:t>Sessional Papers.</w:t>
      </w:r>
      <w:r w:rsidRPr="00D04E9E">
        <w:rPr>
          <w:color w:val="000000"/>
        </w:rPr>
        <w:t xml:space="preserve"> Annual Report of the Department of Indian Affairs for the year ended 31 </w:t>
      </w:r>
      <w:proofErr w:type="gramStart"/>
      <w:r w:rsidRPr="00D04E9E">
        <w:rPr>
          <w:color w:val="000000"/>
        </w:rPr>
        <w:t>Dec.,</w:t>
      </w:r>
      <w:proofErr w:type="gramEnd"/>
      <w:r w:rsidRPr="00D04E9E">
        <w:rPr>
          <w:color w:val="000000"/>
        </w:rPr>
        <w:t xml:space="preserve"> 1884. Report of the Superintendent General of Indian Affairs John A. Macdonald, 1 Jan. 1885); Letter from A. Macdonald to the Superintendent General of Indian Affairs, 16 Sept., 1884 (66-7); Table B Indians of Manitoba and the North-West Agricultural Implements (143-4); Table E Indians of Manitoba and the North-West - seed (151-2); Table of Farming Agencies (192-3): Table of Farming Agencies (198-9); Statement showing the number of families in each Band who have raised crops, 1884, Treaty 4 (204); and Table of Number of Indians in the North-West Territories and their whereabouts (205). </w:t>
      </w:r>
    </w:p>
    <w:p w14:paraId="5BEDBC4C" w14:textId="220596AC" w:rsidR="002048F0" w:rsidRDefault="002048F0" w:rsidP="00D04E9E">
      <w:pPr>
        <w:pStyle w:val="NormalWeb"/>
        <w:spacing w:before="240" w:beforeAutospacing="0" w:after="0" w:afterAutospacing="0"/>
        <w:ind w:left="720" w:hanging="720"/>
        <w:textAlignment w:val="baseline"/>
        <w:rPr>
          <w:b/>
          <w:bCs/>
          <w:color w:val="000000"/>
          <w:shd w:val="clear" w:color="auto" w:fill="FFFFFF"/>
        </w:rPr>
      </w:pPr>
      <w:proofErr w:type="spellStart"/>
      <w:r w:rsidRPr="00C517CD">
        <w:rPr>
          <w:color w:val="000000"/>
          <w:shd w:val="clear" w:color="auto" w:fill="FFFFFF"/>
        </w:rPr>
        <w:t>Daschuk</w:t>
      </w:r>
      <w:proofErr w:type="spellEnd"/>
      <w:r w:rsidRPr="00C517CD">
        <w:rPr>
          <w:color w:val="000000"/>
          <w:shd w:val="clear" w:color="auto" w:fill="FFFFFF"/>
        </w:rPr>
        <w:t xml:space="preserve">, James. </w:t>
      </w:r>
      <w:r w:rsidRPr="00C517CD">
        <w:rPr>
          <w:i/>
          <w:iCs/>
          <w:color w:val="000000"/>
          <w:shd w:val="clear" w:color="auto" w:fill="FFFFFF"/>
        </w:rPr>
        <w:t xml:space="preserve">Clearing the Plains: Disease, Politics of Starvation, and the Loss of Aboriginal Life. </w:t>
      </w:r>
      <w:r w:rsidRPr="00C517CD">
        <w:rPr>
          <w:color w:val="000000"/>
          <w:shd w:val="clear" w:color="auto" w:fill="FFFFFF"/>
        </w:rPr>
        <w:t>Regina: University of Regina Press, 2013</w:t>
      </w:r>
      <w:r w:rsidRPr="00C517CD">
        <w:rPr>
          <w:b/>
          <w:bCs/>
          <w:color w:val="000000"/>
          <w:shd w:val="clear" w:color="auto" w:fill="FFFFFF"/>
        </w:rPr>
        <w:t>.</w:t>
      </w:r>
    </w:p>
    <w:p w14:paraId="4B71F76F" w14:textId="77777777" w:rsidR="00D04E9E" w:rsidRPr="00C517CD" w:rsidRDefault="00D04E9E" w:rsidP="00D04E9E">
      <w:pPr>
        <w:pStyle w:val="NormalWeb"/>
        <w:spacing w:before="240" w:beforeAutospacing="0" w:after="0" w:afterAutospacing="0"/>
        <w:ind w:left="720" w:hanging="720"/>
        <w:textAlignment w:val="baseline"/>
        <w:rPr>
          <w:color w:val="000000"/>
        </w:rPr>
      </w:pPr>
    </w:p>
    <w:p w14:paraId="4A5D8E65" w14:textId="7D2D7268" w:rsidR="002048F0" w:rsidRPr="00C517CD" w:rsidRDefault="002048F0" w:rsidP="004C6009">
      <w:pPr>
        <w:spacing w:after="180"/>
        <w:ind w:left="720" w:hanging="720"/>
        <w:rPr>
          <w:color w:val="000000"/>
          <w:shd w:val="clear" w:color="auto" w:fill="FFFFFF"/>
        </w:rPr>
      </w:pPr>
      <w:proofErr w:type="spellStart"/>
      <w:r w:rsidRPr="00C517CD">
        <w:rPr>
          <w:color w:val="000000"/>
          <w:shd w:val="clear" w:color="auto" w:fill="FFFFFF"/>
        </w:rPr>
        <w:t>Frieson</w:t>
      </w:r>
      <w:proofErr w:type="spellEnd"/>
      <w:r w:rsidRPr="00C517CD">
        <w:rPr>
          <w:color w:val="000000"/>
          <w:shd w:val="clear" w:color="auto" w:fill="FFFFFF"/>
        </w:rPr>
        <w:t xml:space="preserve">, Jean. “MORRIS, ALEXANDER.” In </w:t>
      </w:r>
      <w:r w:rsidRPr="00C517CD">
        <w:rPr>
          <w:i/>
          <w:iCs/>
          <w:color w:val="000000"/>
          <w:shd w:val="clear" w:color="auto" w:fill="FFFFFF"/>
        </w:rPr>
        <w:t>Dictionary of Canadian Biography</w:t>
      </w:r>
      <w:r w:rsidRPr="00C517CD">
        <w:rPr>
          <w:color w:val="000000"/>
          <w:shd w:val="clear" w:color="auto" w:fill="FFFFFF"/>
        </w:rPr>
        <w:t>11, University of Toronto/</w:t>
      </w:r>
      <w:proofErr w:type="spellStart"/>
      <w:r w:rsidRPr="00C517CD">
        <w:rPr>
          <w:color w:val="000000"/>
          <w:shd w:val="clear" w:color="auto" w:fill="FFFFFF"/>
        </w:rPr>
        <w:t>Université</w:t>
      </w:r>
      <w:proofErr w:type="spellEnd"/>
      <w:r w:rsidRPr="00C517CD">
        <w:rPr>
          <w:color w:val="000000"/>
          <w:shd w:val="clear" w:color="auto" w:fill="FFFFFF"/>
        </w:rPr>
        <w:t xml:space="preserve"> Laval, (</w:t>
      </w:r>
      <w:proofErr w:type="spellStart"/>
      <w:r w:rsidRPr="00C517CD">
        <w:rPr>
          <w:color w:val="000000"/>
          <w:shd w:val="clear" w:color="auto" w:fill="FFFFFF"/>
        </w:rPr>
        <w:t>n.d</w:t>
      </w:r>
      <w:proofErr w:type="spellEnd"/>
      <w:r w:rsidRPr="00C517CD">
        <w:rPr>
          <w:color w:val="000000"/>
          <w:shd w:val="clear" w:color="auto" w:fill="FFFFFF"/>
        </w:rPr>
        <w:t>). 2003http://www.biographi.ca/en/bio/morris_alexander_11E.html.</w:t>
      </w:r>
    </w:p>
    <w:p w14:paraId="538AF1E5" w14:textId="5F44CDF3" w:rsidR="00AB2E65" w:rsidRPr="00C517CD" w:rsidRDefault="00AB2E65" w:rsidP="00AB2E65">
      <w:pPr>
        <w:pStyle w:val="NormalWeb"/>
        <w:ind w:left="567" w:hanging="567"/>
        <w:rPr>
          <w:color w:val="000000"/>
        </w:rPr>
      </w:pPr>
      <w:r w:rsidRPr="00C517CD">
        <w:rPr>
          <w:color w:val="000000"/>
        </w:rPr>
        <w:t xml:space="preserve">Goldsborough, Gordon. </w:t>
      </w:r>
      <w:r w:rsidR="008148E2" w:rsidRPr="00C517CD">
        <w:rPr>
          <w:color w:val="000000"/>
        </w:rPr>
        <w:t>“</w:t>
      </w:r>
      <w:r w:rsidRPr="00C517CD">
        <w:rPr>
          <w:color w:val="000000"/>
        </w:rPr>
        <w:t xml:space="preserve">Memorable Manitobans: Frank </w:t>
      </w:r>
      <w:proofErr w:type="spellStart"/>
      <w:r w:rsidRPr="00C517CD">
        <w:rPr>
          <w:color w:val="000000"/>
        </w:rPr>
        <w:t>Larned</w:t>
      </w:r>
      <w:proofErr w:type="spellEnd"/>
      <w:r w:rsidRPr="00C517CD">
        <w:rPr>
          <w:color w:val="000000"/>
        </w:rPr>
        <w:t xml:space="preserve"> Hunt</w:t>
      </w:r>
      <w:r w:rsidR="008148E2" w:rsidRPr="00C517CD">
        <w:rPr>
          <w:color w:val="000000"/>
        </w:rPr>
        <w:t>”</w:t>
      </w:r>
      <w:r w:rsidRPr="00C517CD">
        <w:rPr>
          <w:color w:val="000000"/>
        </w:rPr>
        <w:t xml:space="preserve"> (1825-1903), 2008. http://www.mhs.mb.ca/docs/people/hunt_fl.shtml.</w:t>
      </w:r>
      <w:r w:rsidRPr="00C517CD">
        <w:rPr>
          <w:rStyle w:val="apple-converted-space"/>
          <w:color w:val="000000"/>
        </w:rPr>
        <w:t> </w:t>
      </w:r>
    </w:p>
    <w:p w14:paraId="022C89EB" w14:textId="77777777" w:rsidR="002048F0" w:rsidRPr="00C517CD" w:rsidRDefault="002048F0" w:rsidP="004C6009">
      <w:pPr>
        <w:spacing w:before="240" w:after="240"/>
        <w:ind w:left="720" w:hanging="720"/>
        <w:rPr>
          <w:color w:val="000000"/>
        </w:rPr>
      </w:pPr>
      <w:proofErr w:type="spellStart"/>
      <w:r w:rsidRPr="00C517CD">
        <w:rPr>
          <w:color w:val="000000"/>
          <w:shd w:val="clear" w:color="auto" w:fill="FFFFFF"/>
        </w:rPr>
        <w:t>Krasowski</w:t>
      </w:r>
      <w:proofErr w:type="spellEnd"/>
      <w:r w:rsidRPr="00C517CD">
        <w:rPr>
          <w:color w:val="000000"/>
          <w:shd w:val="clear" w:color="auto" w:fill="FFFFFF"/>
        </w:rPr>
        <w:t xml:space="preserve">, Sheldon. </w:t>
      </w:r>
      <w:r w:rsidRPr="00C517CD">
        <w:rPr>
          <w:i/>
          <w:iCs/>
          <w:color w:val="000000"/>
          <w:shd w:val="clear" w:color="auto" w:fill="FFFFFF"/>
        </w:rPr>
        <w:t xml:space="preserve">No Surrender: The Land Remains Indigenous. </w:t>
      </w:r>
      <w:r w:rsidRPr="00C517CD">
        <w:rPr>
          <w:color w:val="000000"/>
          <w:shd w:val="clear" w:color="auto" w:fill="FFFFFF"/>
        </w:rPr>
        <w:t>Regina: University of Regina Press, 2019</w:t>
      </w:r>
    </w:p>
    <w:p w14:paraId="01B3ABF4" w14:textId="4DAF2BEE" w:rsidR="002048F0" w:rsidRPr="00C517CD" w:rsidRDefault="002048F0" w:rsidP="004C6009">
      <w:pPr>
        <w:spacing w:before="240" w:after="240"/>
        <w:ind w:left="720" w:hanging="720"/>
        <w:rPr>
          <w:color w:val="000000"/>
        </w:rPr>
      </w:pPr>
      <w:r w:rsidRPr="00C517CD">
        <w:rPr>
          <w:color w:val="000000"/>
          <w:shd w:val="clear" w:color="auto" w:fill="FFFFFF"/>
        </w:rPr>
        <w:t>LAC, RG 10, v. 3626, f. 5828</w:t>
      </w:r>
      <w:r w:rsidR="00D04E9E">
        <w:rPr>
          <w:color w:val="000000"/>
          <w:shd w:val="clear" w:color="auto" w:fill="FFFFFF"/>
        </w:rPr>
        <w:t>.</w:t>
      </w:r>
      <w:r w:rsidRPr="00C517CD">
        <w:rPr>
          <w:color w:val="000000"/>
          <w:shd w:val="clear" w:color="auto" w:fill="FFFFFF"/>
        </w:rPr>
        <w:t xml:space="preserve"> Lieutenant –Governor Alexander Morris to David Laird, 7 </w:t>
      </w:r>
      <w:proofErr w:type="gramStart"/>
      <w:r w:rsidRPr="00C517CD">
        <w:rPr>
          <w:color w:val="000000"/>
          <w:shd w:val="clear" w:color="auto" w:fill="FFFFFF"/>
        </w:rPr>
        <w:t>Jan.,</w:t>
      </w:r>
      <w:proofErr w:type="gramEnd"/>
      <w:r w:rsidRPr="00C517CD">
        <w:rPr>
          <w:color w:val="000000"/>
          <w:shd w:val="clear" w:color="auto" w:fill="FFFFFF"/>
        </w:rPr>
        <w:t xml:space="preserve"> 1876.</w:t>
      </w:r>
    </w:p>
    <w:p w14:paraId="64D8703B" w14:textId="77777777" w:rsidR="002048F0" w:rsidRPr="00C517CD" w:rsidRDefault="002048F0" w:rsidP="004C6009">
      <w:pPr>
        <w:spacing w:before="240" w:after="240"/>
        <w:ind w:left="720" w:hanging="720"/>
        <w:rPr>
          <w:color w:val="000000"/>
        </w:rPr>
      </w:pPr>
      <w:r w:rsidRPr="00C517CD">
        <w:rPr>
          <w:color w:val="000000"/>
          <w:shd w:val="clear" w:color="auto" w:fill="FFFFFF"/>
        </w:rPr>
        <w:t>LAC, RG 10, v. 3627, f. 6131. Extracts from the report of surveyor William Wagner to David Laird, Minister of the Interior, dated 1876, reporting on his work in Treaty Four in 1875. </w:t>
      </w:r>
    </w:p>
    <w:p w14:paraId="5E5667EF" w14:textId="2437BEAF" w:rsidR="002048F0" w:rsidRPr="00C517CD" w:rsidRDefault="002048F0" w:rsidP="004C6009">
      <w:pPr>
        <w:spacing w:before="240" w:after="240"/>
        <w:ind w:left="720" w:hanging="720"/>
        <w:rPr>
          <w:color w:val="000000"/>
        </w:rPr>
      </w:pPr>
      <w:r w:rsidRPr="00C517CD">
        <w:rPr>
          <w:color w:val="000000"/>
          <w:shd w:val="clear" w:color="auto" w:fill="FFFFFF"/>
        </w:rPr>
        <w:t>LAC, RG 10, v. 3642, f. 7581</w:t>
      </w:r>
      <w:r w:rsidR="00D04E9E">
        <w:rPr>
          <w:color w:val="000000"/>
          <w:shd w:val="clear" w:color="auto" w:fill="FFFFFF"/>
        </w:rPr>
        <w:t>.</w:t>
      </w:r>
      <w:r w:rsidRPr="00C517CD">
        <w:rPr>
          <w:color w:val="000000"/>
          <w:shd w:val="clear" w:color="auto" w:fill="FFFFFF"/>
        </w:rPr>
        <w:t xml:space="preserve"> Report on his work in Treaty Four of Agent Angus McKay to the Superintendent General of Indian Affairs, 1 Feb. 1877 (on his work in 1876). (Typescript, edited by S. Carter. Includes two tables of oxen and implements distributed by McKay in his original hand.)</w:t>
      </w:r>
    </w:p>
    <w:p w14:paraId="33DE3296" w14:textId="0A137C17" w:rsidR="002048F0" w:rsidRDefault="002048F0" w:rsidP="004C6009">
      <w:pPr>
        <w:spacing w:before="240" w:after="240"/>
        <w:ind w:left="720" w:hanging="720"/>
        <w:rPr>
          <w:color w:val="000000"/>
          <w:shd w:val="clear" w:color="auto" w:fill="FFFFFF"/>
        </w:rPr>
      </w:pPr>
      <w:r w:rsidRPr="00C517CD">
        <w:rPr>
          <w:color w:val="000000"/>
          <w:shd w:val="clear" w:color="auto" w:fill="FFFFFF"/>
        </w:rPr>
        <w:lastRenderedPageBreak/>
        <w:t>LAC, RG 10, v. 3665, f. 10,094</w:t>
      </w:r>
      <w:r w:rsidR="00D04E9E">
        <w:rPr>
          <w:color w:val="000000"/>
          <w:shd w:val="clear" w:color="auto" w:fill="FFFFFF"/>
        </w:rPr>
        <w:t>.</w:t>
      </w:r>
      <w:r w:rsidRPr="00C517CD">
        <w:rPr>
          <w:color w:val="000000"/>
          <w:shd w:val="clear" w:color="auto" w:fill="FFFFFF"/>
        </w:rPr>
        <w:t xml:space="preserve"> Interpreter (F.L. Hunt?) to Joseph </w:t>
      </w:r>
      <w:proofErr w:type="spellStart"/>
      <w:r w:rsidRPr="00C517CD">
        <w:rPr>
          <w:color w:val="000000"/>
          <w:shd w:val="clear" w:color="auto" w:fill="FFFFFF"/>
        </w:rPr>
        <w:t>Cauchon</w:t>
      </w:r>
      <w:proofErr w:type="spellEnd"/>
      <w:r w:rsidRPr="00C517CD">
        <w:rPr>
          <w:color w:val="000000"/>
          <w:shd w:val="clear" w:color="auto" w:fill="FFFFFF"/>
        </w:rPr>
        <w:t xml:space="preserve">, </w:t>
      </w:r>
      <w:proofErr w:type="spellStart"/>
      <w:r w:rsidRPr="00C517CD">
        <w:rPr>
          <w:color w:val="000000"/>
          <w:shd w:val="clear" w:color="auto" w:fill="FFFFFF"/>
        </w:rPr>
        <w:t>Lieut</w:t>
      </w:r>
      <w:proofErr w:type="spellEnd"/>
      <w:r w:rsidRPr="00C517CD">
        <w:rPr>
          <w:color w:val="000000"/>
          <w:shd w:val="clear" w:color="auto" w:fill="FFFFFF"/>
        </w:rPr>
        <w:t xml:space="preserve">- Governor, Manitoba, 1 June 1878; and David Laird, </w:t>
      </w:r>
      <w:proofErr w:type="spellStart"/>
      <w:r w:rsidRPr="00C517CD">
        <w:rPr>
          <w:color w:val="000000"/>
          <w:shd w:val="clear" w:color="auto" w:fill="FFFFFF"/>
        </w:rPr>
        <w:t>Lieut</w:t>
      </w:r>
      <w:proofErr w:type="spellEnd"/>
      <w:r w:rsidRPr="00C517CD">
        <w:rPr>
          <w:color w:val="000000"/>
          <w:shd w:val="clear" w:color="auto" w:fill="FFFFFF"/>
        </w:rPr>
        <w:t>-Governor of the North-West Territories to the Minister of the Interior, 11 Nov. 1878. </w:t>
      </w:r>
    </w:p>
    <w:p w14:paraId="26DBF8FB" w14:textId="77777777" w:rsidR="00D04E9E" w:rsidRDefault="00D04E9E" w:rsidP="00D04E9E">
      <w:pPr>
        <w:spacing w:before="240" w:after="240"/>
        <w:ind w:left="720" w:hanging="720"/>
        <w:rPr>
          <w:color w:val="000000"/>
        </w:rPr>
      </w:pPr>
      <w:r w:rsidRPr="00D04E9E">
        <w:rPr>
          <w:color w:val="000000"/>
        </w:rPr>
        <w:t>LAC, RG 10 v. 3768, f. 33642. “Reports of the Different Councils which His Excellency the Governor General Held with the Indians While in the Northwest Territories,” 1881. </w:t>
      </w:r>
    </w:p>
    <w:p w14:paraId="5FEB87AE" w14:textId="77777777" w:rsidR="00D04E9E" w:rsidRPr="00D04E9E" w:rsidRDefault="00D04E9E" w:rsidP="00D04E9E">
      <w:pPr>
        <w:spacing w:before="240" w:after="240"/>
        <w:ind w:left="720" w:hanging="720"/>
        <w:rPr>
          <w:color w:val="000000"/>
        </w:rPr>
      </w:pPr>
      <w:r w:rsidRPr="00D04E9E">
        <w:rPr>
          <w:color w:val="000000"/>
        </w:rPr>
        <w:t xml:space="preserve">LAC, RG 10, v. 3682, f. 12, 667. Edgar Dewdney to the Superintendent General of Indian Affairs, 28 </w:t>
      </w:r>
      <w:proofErr w:type="gramStart"/>
      <w:r w:rsidRPr="00D04E9E">
        <w:rPr>
          <w:color w:val="000000"/>
        </w:rPr>
        <w:t>April,</w:t>
      </w:r>
      <w:proofErr w:type="gramEnd"/>
      <w:r w:rsidRPr="00D04E9E">
        <w:rPr>
          <w:color w:val="000000"/>
        </w:rPr>
        <w:t xml:space="preserve"> 1884.</w:t>
      </w:r>
    </w:p>
    <w:p w14:paraId="288C3BB9" w14:textId="205D0A70" w:rsidR="00D04E9E" w:rsidRPr="00C517CD" w:rsidRDefault="00D04E9E" w:rsidP="00D04E9E">
      <w:pPr>
        <w:pStyle w:val="NormalWeb"/>
        <w:spacing w:before="240" w:beforeAutospacing="0" w:after="240" w:afterAutospacing="0"/>
        <w:ind w:left="720" w:hanging="720"/>
        <w:textAlignment w:val="baseline"/>
        <w:rPr>
          <w:color w:val="000000"/>
        </w:rPr>
      </w:pPr>
      <w:r w:rsidRPr="00D04E9E">
        <w:rPr>
          <w:color w:val="000000"/>
        </w:rPr>
        <w:t xml:space="preserve">LAC, RG 10 v. 3687, f. 18362. R. McKinnon to Indian Commissioner, 30 </w:t>
      </w:r>
      <w:proofErr w:type="gramStart"/>
      <w:r w:rsidRPr="00D04E9E">
        <w:rPr>
          <w:color w:val="000000"/>
        </w:rPr>
        <w:t>April,</w:t>
      </w:r>
      <w:proofErr w:type="gramEnd"/>
      <w:r w:rsidRPr="00D04E9E">
        <w:rPr>
          <w:color w:val="000000"/>
        </w:rPr>
        <w:t xml:space="preserve"> 1884; and S. Hockley to Indian Commissioner, 30 April, 1884. </w:t>
      </w:r>
    </w:p>
    <w:p w14:paraId="6E477A82" w14:textId="77777777" w:rsidR="002048F0" w:rsidRPr="00C517CD" w:rsidRDefault="002048F0" w:rsidP="004C6009">
      <w:pPr>
        <w:spacing w:before="240" w:after="240"/>
        <w:ind w:left="720" w:hanging="720"/>
        <w:rPr>
          <w:color w:val="000000"/>
        </w:rPr>
      </w:pPr>
      <w:r w:rsidRPr="00C517CD">
        <w:rPr>
          <w:color w:val="000000"/>
          <w:shd w:val="clear" w:color="auto" w:fill="FFFFFF"/>
        </w:rPr>
        <w:t xml:space="preserve">Laird, David. Indian Superintendent and Lieutenant Governor of the North-West Territories, to the Superintendent General of Indian Affairs, 5 Dec., 1878, 56 – 58; and Statement of Implements distributed to Indians of Treaty No. 4 to 30 June, 1878, p. 60; Provisions and Seed Distributed to Indians, p. 61; and “Extract of a Letter dated 11 Nov.,1878 from His Honor </w:t>
      </w:r>
      <w:proofErr w:type="spellStart"/>
      <w:r w:rsidRPr="00C517CD">
        <w:rPr>
          <w:color w:val="000000"/>
          <w:shd w:val="clear" w:color="auto" w:fill="FFFFFF"/>
        </w:rPr>
        <w:t>Lieut</w:t>
      </w:r>
      <w:proofErr w:type="spellEnd"/>
      <w:r w:rsidRPr="00C517CD">
        <w:rPr>
          <w:color w:val="000000"/>
          <w:shd w:val="clear" w:color="auto" w:fill="FFFFFF"/>
        </w:rPr>
        <w:t xml:space="preserve">-Governor and Indian Superintendent David Laird, 64-5, and Indian Agent Allan MacDonald to Superintendent General of Indian Affairs, 24 Nov., 1878, p. 65-6, in Canada </w:t>
      </w:r>
      <w:r w:rsidRPr="00C517CD">
        <w:rPr>
          <w:i/>
          <w:iCs/>
          <w:color w:val="000000"/>
          <w:shd w:val="clear" w:color="auto" w:fill="FFFFFF"/>
        </w:rPr>
        <w:t>Sessional Papers</w:t>
      </w:r>
      <w:r w:rsidRPr="00C517CD">
        <w:rPr>
          <w:color w:val="000000"/>
          <w:shd w:val="clear" w:color="auto" w:fill="FFFFFF"/>
        </w:rPr>
        <w:t>. Report of the Deputy Superintendent General of Indian Affairs for 1878.</w:t>
      </w:r>
    </w:p>
    <w:p w14:paraId="4733BB25" w14:textId="77777777" w:rsidR="002048F0" w:rsidRPr="00C517CD" w:rsidRDefault="002048F0" w:rsidP="004C6009">
      <w:pPr>
        <w:spacing w:before="240" w:after="240"/>
        <w:ind w:left="720" w:hanging="720"/>
        <w:rPr>
          <w:color w:val="000000"/>
        </w:rPr>
      </w:pPr>
      <w:r w:rsidRPr="00C517CD">
        <w:rPr>
          <w:color w:val="000000"/>
          <w:shd w:val="clear" w:color="auto" w:fill="FFFFFF"/>
        </w:rPr>
        <w:t xml:space="preserve">Laird, David. Indian Superintendent to Superintendent General of Indian Affairs, 18 Nov. 1877, in Canada, </w:t>
      </w:r>
      <w:r w:rsidRPr="00C517CD">
        <w:rPr>
          <w:i/>
          <w:iCs/>
          <w:color w:val="000000"/>
          <w:shd w:val="clear" w:color="auto" w:fill="FFFFFF"/>
        </w:rPr>
        <w:t>Sessional Papers</w:t>
      </w:r>
      <w:r w:rsidRPr="00C517CD">
        <w:rPr>
          <w:color w:val="000000"/>
          <w:shd w:val="clear" w:color="auto" w:fill="FFFFFF"/>
        </w:rPr>
        <w:t>, Annual Report of the Deputy Superintendent General of Indian Affairs, 1877, 45 – 6. </w:t>
      </w:r>
    </w:p>
    <w:p w14:paraId="269F6644" w14:textId="18490FF1" w:rsidR="002048F0" w:rsidRDefault="002048F0" w:rsidP="004C6009">
      <w:pPr>
        <w:spacing w:before="240" w:after="240"/>
        <w:ind w:left="720" w:hanging="720"/>
        <w:rPr>
          <w:color w:val="000000"/>
          <w:shd w:val="clear" w:color="auto" w:fill="FFFFFF"/>
        </w:rPr>
      </w:pPr>
      <w:r w:rsidRPr="00C517CD">
        <w:rPr>
          <w:color w:val="000000"/>
          <w:shd w:val="clear" w:color="auto" w:fill="FFFFFF"/>
        </w:rPr>
        <w:t>Library Archives Canada (LAC) Record Group 10 (RG 10) Records of the Department of Indian Affairs (DIA), v. 3613, f. 4013, M. G. Dickieson to E.A. Meredith, 17 Nov. 1874. </w:t>
      </w:r>
    </w:p>
    <w:p w14:paraId="45F55855" w14:textId="75E8C6B5" w:rsidR="00D04E9E" w:rsidRDefault="00D04E9E" w:rsidP="00D04E9E">
      <w:pPr>
        <w:ind w:left="720" w:hanging="720"/>
        <w:rPr>
          <w:color w:val="000000"/>
        </w:rPr>
      </w:pPr>
      <w:r w:rsidRPr="00D04E9E">
        <w:rPr>
          <w:color w:val="000000"/>
        </w:rPr>
        <w:t>Library Archives Canada (LAC) Record Group 10 (</w:t>
      </w:r>
      <w:r w:rsidR="00056D95">
        <w:rPr>
          <w:color w:val="000000"/>
        </w:rPr>
        <w:t xml:space="preserve">RG 10) </w:t>
      </w:r>
      <w:r w:rsidRPr="00D04E9E">
        <w:rPr>
          <w:color w:val="000000"/>
        </w:rPr>
        <w:t xml:space="preserve">Records of the department of Indian Affairs (RG 10, v. 3687, f. 13, 698. F.L. Hunt to Edgar Dewdney, 16 </w:t>
      </w:r>
      <w:proofErr w:type="gramStart"/>
      <w:r w:rsidRPr="00D04E9E">
        <w:rPr>
          <w:color w:val="000000"/>
        </w:rPr>
        <w:t>March,</w:t>
      </w:r>
      <w:proofErr w:type="gramEnd"/>
      <w:r w:rsidRPr="00D04E9E">
        <w:rPr>
          <w:color w:val="000000"/>
        </w:rPr>
        <w:t xml:space="preserve"> 1880. </w:t>
      </w:r>
    </w:p>
    <w:p w14:paraId="6CED30AD" w14:textId="77777777" w:rsidR="00D04E9E" w:rsidRPr="00C517CD" w:rsidRDefault="00D04E9E" w:rsidP="00D04E9E">
      <w:pPr>
        <w:ind w:left="720" w:hanging="720"/>
        <w:rPr>
          <w:color w:val="000000"/>
        </w:rPr>
      </w:pPr>
    </w:p>
    <w:p w14:paraId="4C2300CA" w14:textId="77777777" w:rsidR="002048F0" w:rsidRPr="00C517CD" w:rsidRDefault="002048F0" w:rsidP="004C6009">
      <w:pPr>
        <w:spacing w:before="240" w:after="240"/>
        <w:ind w:left="720" w:hanging="720"/>
        <w:rPr>
          <w:color w:val="000000"/>
        </w:rPr>
      </w:pPr>
      <w:r w:rsidRPr="00C517CD">
        <w:rPr>
          <w:color w:val="000000"/>
          <w:shd w:val="clear" w:color="auto" w:fill="FFFFFF"/>
        </w:rPr>
        <w:t xml:space="preserve">MacDonald, Angus. Indian Agent A. MacDonald to Acting Indian Superintendent 31 July 1879; and Agent MacDonald to the Superintendent General of Indian Affairs, 2 Nov.,1879. In Canada </w:t>
      </w:r>
      <w:r w:rsidRPr="00C517CD">
        <w:rPr>
          <w:i/>
          <w:iCs/>
          <w:color w:val="000000"/>
          <w:shd w:val="clear" w:color="auto" w:fill="FFFFFF"/>
        </w:rPr>
        <w:t xml:space="preserve">Sessional Papers </w:t>
      </w:r>
      <w:r w:rsidRPr="00C517CD">
        <w:rPr>
          <w:color w:val="000000"/>
          <w:shd w:val="clear" w:color="auto" w:fill="FFFFFF"/>
        </w:rPr>
        <w:t>Report of the Deputy Superintendent-General of Indian Affairs, 1879.</w:t>
      </w:r>
    </w:p>
    <w:p w14:paraId="75E22729" w14:textId="77777777" w:rsidR="002048F0" w:rsidRPr="00C517CD" w:rsidRDefault="002048F0" w:rsidP="004C6009">
      <w:pPr>
        <w:spacing w:before="240" w:after="240"/>
        <w:ind w:left="720" w:hanging="720"/>
        <w:rPr>
          <w:color w:val="000000"/>
        </w:rPr>
      </w:pPr>
      <w:r w:rsidRPr="00C517CD">
        <w:rPr>
          <w:color w:val="000000"/>
          <w:shd w:val="clear" w:color="auto" w:fill="FFFFFF"/>
        </w:rPr>
        <w:t>Morin, Jean-Pierre, "Perceptions of Implementation: Treaty Signatory Views of Treaty Implementation" (2007). Aboriginal Policy Research Consortium International (</w:t>
      </w:r>
      <w:proofErr w:type="spellStart"/>
      <w:r w:rsidRPr="00C517CD">
        <w:rPr>
          <w:color w:val="000000"/>
          <w:shd w:val="clear" w:color="auto" w:fill="FFFFFF"/>
        </w:rPr>
        <w:t>APRCi</w:t>
      </w:r>
      <w:proofErr w:type="spellEnd"/>
      <w:r w:rsidRPr="00C517CD">
        <w:rPr>
          <w:color w:val="000000"/>
          <w:shd w:val="clear" w:color="auto" w:fill="FFFFFF"/>
        </w:rPr>
        <w:t>). 108.</w:t>
      </w:r>
    </w:p>
    <w:p w14:paraId="000551AD" w14:textId="2C214C51" w:rsidR="002048F0" w:rsidRPr="00C517CD" w:rsidRDefault="002048F0" w:rsidP="004C6009">
      <w:pPr>
        <w:spacing w:before="240" w:after="240"/>
        <w:ind w:left="720" w:hanging="720"/>
        <w:rPr>
          <w:color w:val="000000"/>
          <w:shd w:val="clear" w:color="auto" w:fill="FFFFFF"/>
        </w:rPr>
      </w:pPr>
      <w:r w:rsidRPr="00C517CD">
        <w:rPr>
          <w:color w:val="000000"/>
          <w:shd w:val="clear" w:color="auto" w:fill="FFFFFF"/>
        </w:rPr>
        <w:t xml:space="preserve">Morris, Alexander. “The Qu’Appelle Treaty.” </w:t>
      </w:r>
      <w:r w:rsidRPr="00C517CD">
        <w:rPr>
          <w:i/>
          <w:iCs/>
          <w:color w:val="000000"/>
          <w:shd w:val="clear" w:color="auto" w:fill="FFFFFF"/>
        </w:rPr>
        <w:t xml:space="preserve">The Treaties of Canada with the Indians of Manitoba the North-West Territories </w:t>
      </w:r>
      <w:r w:rsidRPr="00C517CD">
        <w:rPr>
          <w:color w:val="000000"/>
          <w:shd w:val="clear" w:color="auto" w:fill="FFFFFF"/>
        </w:rPr>
        <w:t>Toronto: Belford’s, Clare &amp; Col, Publishers, 1880, 87 – 123.</w:t>
      </w:r>
    </w:p>
    <w:p w14:paraId="14798BEE" w14:textId="6ECD4987" w:rsidR="004C6009" w:rsidRDefault="004C6009" w:rsidP="004C6009">
      <w:pPr>
        <w:spacing w:before="240" w:after="240"/>
        <w:ind w:left="720" w:hanging="720"/>
        <w:rPr>
          <w:color w:val="000000"/>
          <w:shd w:val="clear" w:color="auto" w:fill="FFFFFF"/>
        </w:rPr>
      </w:pPr>
      <w:r w:rsidRPr="00C517CD">
        <w:rPr>
          <w:color w:val="000000"/>
          <w:shd w:val="clear" w:color="auto" w:fill="FFFFFF"/>
        </w:rPr>
        <w:t xml:space="preserve">--------“The Qu’Appelle Treaty, Number Four.” </w:t>
      </w:r>
      <w:r w:rsidRPr="00C517CD">
        <w:rPr>
          <w:i/>
          <w:iCs/>
          <w:color w:val="000000"/>
          <w:shd w:val="clear" w:color="auto" w:fill="FFFFFF"/>
        </w:rPr>
        <w:t>Treaties</w:t>
      </w:r>
      <w:r w:rsidRPr="00C517CD">
        <w:rPr>
          <w:color w:val="000000"/>
          <w:shd w:val="clear" w:color="auto" w:fill="FFFFFF"/>
        </w:rPr>
        <w:t>, 330 – 335. </w:t>
      </w:r>
    </w:p>
    <w:p w14:paraId="548AA56C" w14:textId="4ADC6B9C" w:rsidR="00056D95" w:rsidRDefault="00056D95" w:rsidP="00056D95">
      <w:pPr>
        <w:ind w:left="720" w:hanging="720"/>
      </w:pPr>
      <w:proofErr w:type="spellStart"/>
      <w:r w:rsidRPr="00056D95">
        <w:rPr>
          <w:color w:val="000000"/>
          <w:shd w:val="clear" w:color="auto" w:fill="FFFFFF"/>
        </w:rPr>
        <w:lastRenderedPageBreak/>
        <w:t>Raptis</w:t>
      </w:r>
      <w:proofErr w:type="spellEnd"/>
      <w:r w:rsidRPr="00056D95">
        <w:rPr>
          <w:color w:val="000000"/>
          <w:shd w:val="clear" w:color="auto" w:fill="FFFFFF"/>
        </w:rPr>
        <w:t xml:space="preserve">, Helen. “Brian </w:t>
      </w:r>
      <w:proofErr w:type="spellStart"/>
      <w:r w:rsidRPr="00056D95">
        <w:rPr>
          <w:color w:val="000000"/>
          <w:shd w:val="clear" w:color="auto" w:fill="FFFFFF"/>
        </w:rPr>
        <w:t>Titley</w:t>
      </w:r>
      <w:proofErr w:type="spellEnd"/>
      <w:r w:rsidRPr="00056D95">
        <w:rPr>
          <w:color w:val="000000"/>
          <w:shd w:val="clear" w:color="auto" w:fill="FFFFFF"/>
        </w:rPr>
        <w:t>. The Indian Commissioners: Agents of the State and Indian Policy in Canada’s Prairie West, 1873–1932”.</w:t>
      </w:r>
      <w:r w:rsidRPr="00056D95">
        <w:rPr>
          <w:rStyle w:val="apple-converted-space"/>
          <w:color w:val="000000"/>
          <w:shd w:val="clear" w:color="auto" w:fill="FFFFFF"/>
        </w:rPr>
        <w:t> </w:t>
      </w:r>
      <w:r w:rsidRPr="00056D95">
        <w:rPr>
          <w:i/>
          <w:iCs/>
          <w:color w:val="000000"/>
        </w:rPr>
        <w:t xml:space="preserve">Historical Studies in Education / Revue </w:t>
      </w:r>
      <w:proofErr w:type="spellStart"/>
      <w:r w:rsidRPr="00056D95">
        <w:rPr>
          <w:i/>
          <w:iCs/>
          <w:color w:val="000000"/>
        </w:rPr>
        <w:t>d’histoire</w:t>
      </w:r>
      <w:proofErr w:type="spellEnd"/>
      <w:r w:rsidRPr="00056D95">
        <w:rPr>
          <w:i/>
          <w:iCs/>
          <w:color w:val="000000"/>
        </w:rPr>
        <w:t xml:space="preserve"> De </w:t>
      </w:r>
      <w:proofErr w:type="spellStart"/>
      <w:r w:rsidRPr="00056D95">
        <w:rPr>
          <w:i/>
          <w:iCs/>
          <w:color w:val="000000"/>
        </w:rPr>
        <w:t>l’éducation</w:t>
      </w:r>
      <w:proofErr w:type="spellEnd"/>
      <w:r w:rsidRPr="00056D95">
        <w:rPr>
          <w:rStyle w:val="apple-converted-space"/>
          <w:color w:val="000000"/>
          <w:shd w:val="clear" w:color="auto" w:fill="FFFFFF"/>
        </w:rPr>
        <w:t> </w:t>
      </w:r>
      <w:r w:rsidRPr="00056D95">
        <w:rPr>
          <w:color w:val="000000"/>
          <w:shd w:val="clear" w:color="auto" w:fill="FFFFFF"/>
        </w:rPr>
        <w:t>23</w:t>
      </w:r>
      <w:r w:rsidR="006274E2">
        <w:rPr>
          <w:color w:val="000000"/>
          <w:shd w:val="clear" w:color="auto" w:fill="FFFFFF"/>
        </w:rPr>
        <w:t xml:space="preserve">, no. </w:t>
      </w:r>
      <w:r w:rsidRPr="00056D95">
        <w:rPr>
          <w:color w:val="000000"/>
          <w:shd w:val="clear" w:color="auto" w:fill="FFFFFF"/>
        </w:rPr>
        <w:t>2</w:t>
      </w:r>
      <w:r w:rsidR="006274E2">
        <w:rPr>
          <w:color w:val="000000"/>
          <w:shd w:val="clear" w:color="auto" w:fill="FFFFFF"/>
        </w:rPr>
        <w:t xml:space="preserve"> (</w:t>
      </w:r>
      <w:r w:rsidR="00F152CC">
        <w:rPr>
          <w:color w:val="000000"/>
          <w:shd w:val="clear" w:color="auto" w:fill="FFFFFF"/>
        </w:rPr>
        <w:t>2011</w:t>
      </w:r>
      <w:r w:rsidR="006274E2">
        <w:rPr>
          <w:color w:val="000000"/>
          <w:shd w:val="clear" w:color="auto" w:fill="FFFFFF"/>
        </w:rPr>
        <w:t>); 148-50</w:t>
      </w:r>
      <w:r w:rsidRPr="00056D95">
        <w:rPr>
          <w:color w:val="000000"/>
          <w:shd w:val="clear" w:color="auto" w:fill="FFFFFF"/>
        </w:rPr>
        <w:t xml:space="preserve">. </w:t>
      </w:r>
      <w:hyperlink r:id="rId8" w:history="1">
        <w:r w:rsidRPr="008D631F">
          <w:rPr>
            <w:rStyle w:val="Hyperlink"/>
            <w:shd w:val="clear" w:color="auto" w:fill="FFFFFF"/>
          </w:rPr>
          <w:t>https://doi.org/10.32316/hse/rhe.v23i2.4069</w:t>
        </w:r>
      </w:hyperlink>
      <w:r w:rsidR="006274E2">
        <w:rPr>
          <w:color w:val="000000"/>
          <w:shd w:val="clear" w:color="auto" w:fill="FFFFFF"/>
        </w:rPr>
        <w:t>.</w:t>
      </w:r>
    </w:p>
    <w:p w14:paraId="786F7A30" w14:textId="77777777" w:rsidR="00056D95" w:rsidRPr="00056D95" w:rsidRDefault="00056D95" w:rsidP="00056D95">
      <w:pPr>
        <w:ind w:left="720" w:hanging="720"/>
      </w:pPr>
    </w:p>
    <w:p w14:paraId="4022600A" w14:textId="01CB37C1" w:rsidR="006274E2" w:rsidRPr="006274E2" w:rsidRDefault="002048F0" w:rsidP="006274E2">
      <w:pPr>
        <w:ind w:left="720" w:hanging="720"/>
        <w:rPr>
          <w:color w:val="000000"/>
        </w:rPr>
      </w:pPr>
      <w:r w:rsidRPr="00C517CD">
        <w:rPr>
          <w:color w:val="000000"/>
          <w:shd w:val="clear" w:color="auto" w:fill="FFFFFF"/>
        </w:rPr>
        <w:t xml:space="preserve">Robb, Andrew. “LAIRD, DAVID.” In </w:t>
      </w:r>
      <w:r w:rsidRPr="00C517CD">
        <w:rPr>
          <w:i/>
          <w:iCs/>
          <w:color w:val="000000"/>
          <w:shd w:val="clear" w:color="auto" w:fill="FFFFFF"/>
        </w:rPr>
        <w:t>Dictionary of Canadian Biography</w:t>
      </w:r>
      <w:r w:rsidRPr="00C517CD">
        <w:rPr>
          <w:color w:val="000000"/>
          <w:shd w:val="clear" w:color="auto" w:fill="FFFFFF"/>
        </w:rPr>
        <w:t>14. University of Toronto/</w:t>
      </w:r>
      <w:proofErr w:type="spellStart"/>
      <w:r w:rsidRPr="00C517CD">
        <w:rPr>
          <w:color w:val="000000"/>
          <w:shd w:val="clear" w:color="auto" w:fill="FFFFFF"/>
        </w:rPr>
        <w:t>Université</w:t>
      </w:r>
      <w:proofErr w:type="spellEnd"/>
      <w:r w:rsidRPr="00C517CD">
        <w:rPr>
          <w:color w:val="000000"/>
          <w:shd w:val="clear" w:color="auto" w:fill="FFFFFF"/>
        </w:rPr>
        <w:t xml:space="preserve"> Laval, 2003. </w:t>
      </w:r>
      <w:hyperlink r:id="rId9" w:history="1">
        <w:r w:rsidRPr="00C517CD">
          <w:rPr>
            <w:color w:val="1155CC"/>
            <w:u w:val="single"/>
            <w:shd w:val="clear" w:color="auto" w:fill="FFFFFF"/>
          </w:rPr>
          <w:t>http://www.biographi.ca/en/bio/laird_david_14E.html</w:t>
        </w:r>
      </w:hyperlink>
      <w:r w:rsidRPr="00C517CD">
        <w:rPr>
          <w:color w:val="000000"/>
          <w:shd w:val="clear" w:color="auto" w:fill="FFFFFF"/>
        </w:rPr>
        <w:t>.</w:t>
      </w:r>
    </w:p>
    <w:p w14:paraId="7884164A" w14:textId="6C268B9A" w:rsidR="006274E2" w:rsidRPr="006274E2" w:rsidRDefault="006274E2" w:rsidP="006274E2">
      <w:pPr>
        <w:pStyle w:val="NormalWeb"/>
        <w:ind w:left="567" w:hanging="567"/>
        <w:rPr>
          <w:color w:val="000000"/>
        </w:rPr>
      </w:pPr>
      <w:r w:rsidRPr="006274E2">
        <w:rPr>
          <w:color w:val="000000"/>
        </w:rPr>
        <w:t>“Sacred Spaces.” Accessed December 10, 2020. https://www.edmonton.ca/city_government/edmonton_archives/sacred-spaces.aspx.</w:t>
      </w:r>
      <w:r w:rsidRPr="006274E2">
        <w:rPr>
          <w:rStyle w:val="apple-converted-space"/>
          <w:color w:val="000000"/>
        </w:rPr>
        <w:t> </w:t>
      </w:r>
    </w:p>
    <w:p w14:paraId="11909536" w14:textId="60FA2C58" w:rsidR="002048F0" w:rsidRPr="00C517CD" w:rsidRDefault="002048F0" w:rsidP="004C6009">
      <w:pPr>
        <w:spacing w:after="180"/>
        <w:ind w:left="720" w:hanging="720"/>
        <w:rPr>
          <w:color w:val="000000"/>
        </w:rPr>
      </w:pPr>
      <w:r w:rsidRPr="00C517CD">
        <w:rPr>
          <w:color w:val="000000"/>
          <w:shd w:val="clear" w:color="auto" w:fill="FFFFFF"/>
        </w:rPr>
        <w:t xml:space="preserve">Spry, Irene M. “CHRISTIE, WILLIAM JOSEPH.” In </w:t>
      </w:r>
      <w:r w:rsidRPr="00C517CD">
        <w:rPr>
          <w:i/>
          <w:iCs/>
          <w:color w:val="000000"/>
          <w:shd w:val="clear" w:color="auto" w:fill="FFFFFF"/>
        </w:rPr>
        <w:t>Dictionary of Canadian Biography</w:t>
      </w:r>
      <w:r w:rsidRPr="00C517CD">
        <w:rPr>
          <w:color w:val="000000"/>
          <w:shd w:val="clear" w:color="auto" w:fill="FFFFFF"/>
        </w:rPr>
        <w:t>12. University of Toronto/</w:t>
      </w:r>
      <w:proofErr w:type="spellStart"/>
      <w:r w:rsidRPr="00C517CD">
        <w:rPr>
          <w:color w:val="000000"/>
          <w:shd w:val="clear" w:color="auto" w:fill="FFFFFF"/>
        </w:rPr>
        <w:t>Université</w:t>
      </w:r>
      <w:proofErr w:type="spellEnd"/>
      <w:r w:rsidRPr="00C517CD">
        <w:rPr>
          <w:color w:val="000000"/>
          <w:shd w:val="clear" w:color="auto" w:fill="FFFFFF"/>
        </w:rPr>
        <w:t xml:space="preserve"> Laval, 2003. </w:t>
      </w:r>
      <w:hyperlink r:id="rId10" w:history="1">
        <w:r w:rsidRPr="00C517CD">
          <w:rPr>
            <w:color w:val="1155CC"/>
            <w:u w:val="single"/>
            <w:shd w:val="clear" w:color="auto" w:fill="FFFFFF"/>
          </w:rPr>
          <w:t>http://www.biographi.ca/en/bio/christie_william_joseph_12E.html</w:t>
        </w:r>
      </w:hyperlink>
      <w:r w:rsidRPr="00C517CD">
        <w:rPr>
          <w:color w:val="000000"/>
          <w:shd w:val="clear" w:color="auto" w:fill="FFFFFF"/>
        </w:rPr>
        <w:t>.</w:t>
      </w:r>
    </w:p>
    <w:p w14:paraId="72B8F635" w14:textId="63532A8E" w:rsidR="002048F0" w:rsidRPr="00C517CD" w:rsidRDefault="002048F0" w:rsidP="004C6009">
      <w:pPr>
        <w:spacing w:before="240" w:after="240"/>
        <w:ind w:left="720" w:hanging="720"/>
        <w:rPr>
          <w:color w:val="000000"/>
          <w:shd w:val="clear" w:color="auto" w:fill="FFFFFF"/>
        </w:rPr>
      </w:pPr>
      <w:r w:rsidRPr="00C517CD">
        <w:rPr>
          <w:color w:val="000000"/>
          <w:shd w:val="clear" w:color="auto" w:fill="FFFFFF"/>
        </w:rPr>
        <w:t xml:space="preserve">Stonechild, Blair, “Recovering the Heritage of Treaty Four.” In P. </w:t>
      </w:r>
      <w:proofErr w:type="spellStart"/>
      <w:r w:rsidRPr="00C517CD">
        <w:rPr>
          <w:color w:val="000000"/>
          <w:shd w:val="clear" w:color="auto" w:fill="FFFFFF"/>
        </w:rPr>
        <w:t>Douaud</w:t>
      </w:r>
      <w:proofErr w:type="spellEnd"/>
      <w:r w:rsidRPr="00C517CD">
        <w:rPr>
          <w:color w:val="000000"/>
          <w:shd w:val="clear" w:color="auto" w:fill="FFFFFF"/>
        </w:rPr>
        <w:t xml:space="preserve"> and Bruce Dawson, </w:t>
      </w:r>
      <w:r w:rsidRPr="00C517CD">
        <w:rPr>
          <w:i/>
          <w:iCs/>
          <w:color w:val="000000"/>
          <w:shd w:val="clear" w:color="auto" w:fill="FFFFFF"/>
        </w:rPr>
        <w:t xml:space="preserve">Plain Speaking: Essays on Aboriginal Peoples and the Prairie </w:t>
      </w:r>
      <w:r w:rsidRPr="00C517CD">
        <w:rPr>
          <w:color w:val="000000"/>
          <w:shd w:val="clear" w:color="auto" w:fill="FFFFFF"/>
        </w:rPr>
        <w:t>Regina: Canadian Plains Research Centre, 2002</w:t>
      </w:r>
      <w:r w:rsidR="00F152CC">
        <w:rPr>
          <w:color w:val="000000"/>
          <w:shd w:val="clear" w:color="auto" w:fill="FFFFFF"/>
        </w:rPr>
        <w:t xml:space="preserve">. </w:t>
      </w:r>
    </w:p>
    <w:p w14:paraId="7F2E1060" w14:textId="29843A06" w:rsidR="004C6009" w:rsidRDefault="004C6009" w:rsidP="004C6009">
      <w:pPr>
        <w:spacing w:before="240" w:after="240"/>
        <w:ind w:left="720" w:hanging="720"/>
        <w:rPr>
          <w:color w:val="000000"/>
          <w:shd w:val="clear" w:color="auto" w:fill="FFFFFF"/>
        </w:rPr>
      </w:pPr>
      <w:r w:rsidRPr="00C517CD">
        <w:rPr>
          <w:color w:val="000000"/>
          <w:shd w:val="clear" w:color="auto" w:fill="FFFFFF"/>
        </w:rPr>
        <w:t xml:space="preserve">--------- “Treaty 4.” Indigenous Saskatchewan Encyclopedia. University of Saskatchewan. </w:t>
      </w:r>
      <w:hyperlink r:id="rId11" w:history="1">
        <w:r w:rsidR="00F152CC" w:rsidRPr="008D631F">
          <w:rPr>
            <w:rStyle w:val="Hyperlink"/>
            <w:shd w:val="clear" w:color="auto" w:fill="FFFFFF"/>
          </w:rPr>
          <w:t>https://teaching.usask.ca/indigenoussk/import/treaty_4.php</w:t>
        </w:r>
      </w:hyperlink>
      <w:r w:rsidRPr="00C517CD">
        <w:rPr>
          <w:color w:val="000000"/>
          <w:shd w:val="clear" w:color="auto" w:fill="FFFFFF"/>
        </w:rPr>
        <w:t>. </w:t>
      </w:r>
    </w:p>
    <w:p w14:paraId="1B2FF1AF" w14:textId="036BB085" w:rsidR="00F152CC" w:rsidRPr="00BA6375" w:rsidRDefault="00F152CC" w:rsidP="00F152CC">
      <w:pPr>
        <w:ind w:left="720" w:hanging="720"/>
      </w:pPr>
      <w:proofErr w:type="spellStart"/>
      <w:r w:rsidRPr="00BA6375">
        <w:rPr>
          <w:color w:val="333333"/>
          <w:shd w:val="clear" w:color="auto" w:fill="FFFFFF"/>
        </w:rPr>
        <w:t>Titley</w:t>
      </w:r>
      <w:proofErr w:type="spellEnd"/>
      <w:r w:rsidRPr="00BA6375">
        <w:rPr>
          <w:color w:val="333333"/>
          <w:shd w:val="clear" w:color="auto" w:fill="FFFFFF"/>
        </w:rPr>
        <w:t>, E. Brian. “DEWDNEY, EDGAR.” In</w:t>
      </w:r>
      <w:r w:rsidRPr="00BA6375">
        <w:rPr>
          <w:rStyle w:val="apple-converted-space"/>
          <w:color w:val="333333"/>
          <w:shd w:val="clear" w:color="auto" w:fill="FFFFFF"/>
        </w:rPr>
        <w:t> </w:t>
      </w:r>
      <w:r w:rsidRPr="00BA6375">
        <w:rPr>
          <w:rStyle w:val="Emphasis"/>
          <w:color w:val="333333"/>
          <w:bdr w:val="none" w:sz="0" w:space="0" w:color="auto" w:frame="1"/>
        </w:rPr>
        <w:t>Dictionary of Canadian Biography</w:t>
      </w:r>
      <w:r w:rsidRPr="00BA6375">
        <w:rPr>
          <w:color w:val="333333"/>
          <w:shd w:val="clear" w:color="auto" w:fill="FFFFFF"/>
        </w:rPr>
        <w:t>, vol. 14, University of Toronto/</w:t>
      </w:r>
      <w:proofErr w:type="spellStart"/>
      <w:r w:rsidRPr="00BA6375">
        <w:rPr>
          <w:color w:val="333333"/>
          <w:shd w:val="clear" w:color="auto" w:fill="FFFFFF"/>
        </w:rPr>
        <w:t>Université</w:t>
      </w:r>
      <w:proofErr w:type="spellEnd"/>
      <w:r w:rsidRPr="00BA6375">
        <w:rPr>
          <w:color w:val="333333"/>
          <w:shd w:val="clear" w:color="auto" w:fill="FFFFFF"/>
        </w:rPr>
        <w:t xml:space="preserve"> Laval, 2003. </w:t>
      </w:r>
      <w:hyperlink r:id="rId12" w:history="1">
        <w:r w:rsidRPr="00BA6375">
          <w:rPr>
            <w:rStyle w:val="Hyperlink"/>
            <w:bdr w:val="none" w:sz="0" w:space="0" w:color="auto" w:frame="1"/>
          </w:rPr>
          <w:t>http://www.biographi.ca/en/bio/dewdney_edgar_14E.html</w:t>
        </w:r>
      </w:hyperlink>
      <w:r w:rsidRPr="00BA6375">
        <w:rPr>
          <w:color w:val="333333"/>
          <w:shd w:val="clear" w:color="auto" w:fill="FFFFFF"/>
        </w:rPr>
        <w:t>.</w:t>
      </w:r>
    </w:p>
    <w:p w14:paraId="00000059" w14:textId="215C58F4" w:rsidR="000E25E9" w:rsidRPr="00C517CD" w:rsidRDefault="002048F0" w:rsidP="00056D95">
      <w:pPr>
        <w:spacing w:before="240" w:after="240"/>
        <w:ind w:left="720" w:hanging="720"/>
        <w:rPr>
          <w:color w:val="000000"/>
        </w:rPr>
      </w:pPr>
      <w:r w:rsidRPr="00C517CD">
        <w:rPr>
          <w:color w:val="000000"/>
          <w:shd w:val="clear" w:color="auto" w:fill="FFFFFF"/>
        </w:rPr>
        <w:t xml:space="preserve">“[W.J.] Christie and [M.G.] Dickieson to the Hon the Minister of the Interior [David Laird],” 7 Oct., 1875, in Canada, </w:t>
      </w:r>
      <w:r w:rsidRPr="00C517CD">
        <w:rPr>
          <w:i/>
          <w:iCs/>
          <w:color w:val="000000"/>
          <w:shd w:val="clear" w:color="auto" w:fill="FFFFFF"/>
        </w:rPr>
        <w:t xml:space="preserve">Sessional Papers, </w:t>
      </w:r>
      <w:r w:rsidRPr="00C517CD">
        <w:rPr>
          <w:color w:val="000000"/>
          <w:shd w:val="clear" w:color="auto" w:fill="FFFFFF"/>
        </w:rPr>
        <w:t>Annual Report of the Department of the Interior for the year ended 30 June, 1875, xxii – xxviii, “Recapitulation of Payments to Indians at Fort Ellice and Qu’Appelle Lakes, August and September, 1875, xxix.</w:t>
      </w:r>
    </w:p>
    <w:p w14:paraId="62D0BFD8" w14:textId="77777777" w:rsidR="00D04E9E" w:rsidRDefault="00D04E9E" w:rsidP="00D04E9E"/>
    <w:p w14:paraId="56B723D9" w14:textId="77777777" w:rsidR="00D04E9E" w:rsidRPr="00D04E9E" w:rsidRDefault="00D04E9E" w:rsidP="00D04E9E">
      <w:pPr>
        <w:rPr>
          <w:highlight w:val="white"/>
        </w:rPr>
      </w:pPr>
    </w:p>
    <w:sectPr w:rsidR="00D04E9E" w:rsidRPr="00D04E9E">
      <w:headerReference w:type="even" r:id="rId13"/>
      <w:headerReference w:type="default" r:id="rId14"/>
      <w:headerReference w:type="first" r:id="rId1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FE8EE" w14:textId="77777777" w:rsidR="00FA1ADF" w:rsidRDefault="00FA1ADF">
      <w:r>
        <w:separator/>
      </w:r>
    </w:p>
  </w:endnote>
  <w:endnote w:type="continuationSeparator" w:id="0">
    <w:p w14:paraId="08CE84FC" w14:textId="77777777" w:rsidR="00FA1ADF" w:rsidRDefault="00FA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5034E" w14:textId="77777777" w:rsidR="00FA1ADF" w:rsidRDefault="00FA1ADF">
      <w:r>
        <w:separator/>
      </w:r>
    </w:p>
  </w:footnote>
  <w:footnote w:type="continuationSeparator" w:id="0">
    <w:p w14:paraId="28819F04" w14:textId="77777777" w:rsidR="00FA1ADF" w:rsidRDefault="00FA1ADF">
      <w:r>
        <w:continuationSeparator/>
      </w:r>
    </w:p>
  </w:footnote>
  <w:footnote w:id="1">
    <w:p w14:paraId="0000005F" w14:textId="35A91AF5" w:rsidR="000E25E9" w:rsidRPr="00CE7D4F" w:rsidRDefault="00A5386A">
      <w:pPr>
        <w:rPr>
          <w:sz w:val="20"/>
          <w:szCs w:val="20"/>
        </w:rPr>
      </w:pPr>
      <w:r w:rsidRPr="00531C0F">
        <w:rPr>
          <w:rStyle w:val="FootnoteReference"/>
        </w:rPr>
        <w:footnoteRef/>
      </w:r>
      <w:r w:rsidRPr="00CE7D4F">
        <w:rPr>
          <w:sz w:val="20"/>
          <w:szCs w:val="20"/>
        </w:rPr>
        <w:t xml:space="preserve"> “The Qu’Appelle Treaty,” excerpt from Alexander Morris, </w:t>
      </w:r>
      <w:r w:rsidRPr="00CE7D4F">
        <w:rPr>
          <w:i/>
          <w:sz w:val="20"/>
          <w:szCs w:val="20"/>
        </w:rPr>
        <w:t xml:space="preserve">The Treaties of Canada with the Indians of Manitoba the North-West Territories </w:t>
      </w:r>
      <w:r w:rsidRPr="00CE7D4F">
        <w:rPr>
          <w:sz w:val="20"/>
          <w:szCs w:val="20"/>
        </w:rPr>
        <w:t xml:space="preserve">Toronto: </w:t>
      </w:r>
      <w:r w:rsidR="00CE7D4F" w:rsidRPr="00CE7D4F">
        <w:rPr>
          <w:sz w:val="20"/>
          <w:szCs w:val="20"/>
        </w:rPr>
        <w:t>Belford’s</w:t>
      </w:r>
      <w:r w:rsidRPr="00CE7D4F">
        <w:rPr>
          <w:sz w:val="20"/>
          <w:szCs w:val="20"/>
        </w:rPr>
        <w:t>, Clare &amp; Col, Publishers, 1880, 87 – 123.</w:t>
      </w:r>
    </w:p>
  </w:footnote>
  <w:footnote w:id="2">
    <w:p w14:paraId="0000009A" w14:textId="77777777" w:rsidR="000E25E9" w:rsidRPr="00CE7D4F" w:rsidRDefault="00A5386A">
      <w:pPr>
        <w:rPr>
          <w:sz w:val="20"/>
          <w:szCs w:val="20"/>
        </w:rPr>
      </w:pPr>
      <w:r w:rsidRPr="00531C0F">
        <w:rPr>
          <w:rStyle w:val="FootnoteReference"/>
        </w:rPr>
        <w:footnoteRef/>
      </w:r>
      <w:r w:rsidRPr="00CE7D4F">
        <w:rPr>
          <w:sz w:val="20"/>
          <w:szCs w:val="20"/>
        </w:rPr>
        <w:t xml:space="preserve"> Gretchen Albers, “Excerpt: A Treaty 4 First Nation’s Agricultural Benefits Expert Report” (Cochrane, AB: Historical Resources</w:t>
      </w:r>
      <w:r w:rsidRPr="00CE7D4F">
        <w:rPr>
          <w:color w:val="262626"/>
          <w:sz w:val="20"/>
          <w:szCs w:val="20"/>
        </w:rPr>
        <w:t xml:space="preserve">, </w:t>
      </w:r>
      <w:r w:rsidRPr="00CE7D4F">
        <w:rPr>
          <w:sz w:val="20"/>
          <w:szCs w:val="20"/>
        </w:rPr>
        <w:t>2020), 9.</w:t>
      </w:r>
    </w:p>
  </w:footnote>
  <w:footnote w:id="3">
    <w:p w14:paraId="00000060" w14:textId="77777777" w:rsidR="000E25E9" w:rsidRPr="00CE7D4F" w:rsidRDefault="00A5386A">
      <w:pPr>
        <w:rPr>
          <w:sz w:val="20"/>
          <w:szCs w:val="20"/>
        </w:rPr>
      </w:pPr>
      <w:r w:rsidRPr="00531C0F">
        <w:rPr>
          <w:rStyle w:val="FootnoteReference"/>
        </w:rPr>
        <w:footnoteRef/>
      </w:r>
      <w:r w:rsidRPr="00CE7D4F">
        <w:rPr>
          <w:sz w:val="20"/>
          <w:szCs w:val="20"/>
        </w:rPr>
        <w:t xml:space="preserve"> Albers, “Expert,” 4-5.</w:t>
      </w:r>
    </w:p>
  </w:footnote>
  <w:footnote w:id="4">
    <w:p w14:paraId="00000072" w14:textId="19A78F98"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Bob Beal, “An Indian Chief, an English Tourist, A Doctor, A Reverend, and a Member </w:t>
      </w:r>
      <w:r w:rsidR="00CE7D4F" w:rsidRPr="00CE7D4F">
        <w:rPr>
          <w:color w:val="000000" w:themeColor="text1"/>
          <w:sz w:val="20"/>
          <w:szCs w:val="20"/>
        </w:rPr>
        <w:t>of Parliament</w:t>
      </w:r>
      <w:r w:rsidRPr="00CE7D4F">
        <w:rPr>
          <w:color w:val="000000" w:themeColor="text1"/>
          <w:sz w:val="20"/>
          <w:szCs w:val="20"/>
        </w:rPr>
        <w:t xml:space="preserve">: The Journeys of Pasqua’s Pictographs and the Meaning of Treaty Four,” in </w:t>
      </w:r>
      <w:r w:rsidRPr="00CE7D4F">
        <w:rPr>
          <w:i/>
          <w:color w:val="000000" w:themeColor="text1"/>
          <w:sz w:val="20"/>
          <w:szCs w:val="20"/>
        </w:rPr>
        <w:t xml:space="preserve">The Canadian Journal of Native Studies </w:t>
      </w:r>
      <w:r w:rsidRPr="00CE7D4F">
        <w:rPr>
          <w:color w:val="000000" w:themeColor="text1"/>
          <w:sz w:val="20"/>
          <w:szCs w:val="20"/>
        </w:rPr>
        <w:t xml:space="preserve">27, no.1 (2007), 114-6; </w:t>
      </w:r>
      <w:r w:rsidRPr="00CE7D4F">
        <w:rPr>
          <w:color w:val="000000" w:themeColor="text1"/>
          <w:sz w:val="20"/>
          <w:szCs w:val="20"/>
          <w:highlight w:val="white"/>
        </w:rPr>
        <w:t xml:space="preserve">Jean Friesen, “MORRIS, ALEXANDER,” in </w:t>
      </w:r>
      <w:r w:rsidRPr="00CE7D4F">
        <w:rPr>
          <w:i/>
          <w:color w:val="000000" w:themeColor="text1"/>
          <w:sz w:val="20"/>
          <w:szCs w:val="20"/>
        </w:rPr>
        <w:t>Dictionary of Canadian Biography</w:t>
      </w:r>
      <w:r w:rsidRPr="00CE7D4F">
        <w:rPr>
          <w:color w:val="000000" w:themeColor="text1"/>
          <w:sz w:val="20"/>
          <w:szCs w:val="20"/>
          <w:highlight w:val="white"/>
        </w:rPr>
        <w:t xml:space="preserve"> 11 (University of Toronto/Université Laval, 2003).</w:t>
      </w:r>
    </w:p>
  </w:footnote>
  <w:footnote w:id="5">
    <w:p w14:paraId="00000061" w14:textId="77777777"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Beal, “An Indian Chief,” 114-6.</w:t>
      </w:r>
    </w:p>
  </w:footnote>
  <w:footnote w:id="6">
    <w:p w14:paraId="00000062" w14:textId="77777777"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James </w:t>
      </w:r>
      <w:proofErr w:type="spellStart"/>
      <w:r w:rsidRPr="00CE7D4F">
        <w:rPr>
          <w:color w:val="000000" w:themeColor="text1"/>
          <w:sz w:val="20"/>
          <w:szCs w:val="20"/>
        </w:rPr>
        <w:t>Daschuk</w:t>
      </w:r>
      <w:proofErr w:type="spellEnd"/>
      <w:r w:rsidRPr="00CE7D4F">
        <w:rPr>
          <w:color w:val="000000" w:themeColor="text1"/>
          <w:sz w:val="20"/>
          <w:szCs w:val="20"/>
        </w:rPr>
        <w:t xml:space="preserve">, </w:t>
      </w:r>
      <w:r w:rsidRPr="00CE7D4F">
        <w:rPr>
          <w:i/>
          <w:color w:val="000000" w:themeColor="text1"/>
          <w:sz w:val="20"/>
          <w:szCs w:val="20"/>
        </w:rPr>
        <w:t>Clearing the Plains: Disease, Politics of Starvation, and the Loss of Aboriginal Life (</w:t>
      </w:r>
      <w:r w:rsidRPr="00CE7D4F">
        <w:rPr>
          <w:color w:val="000000" w:themeColor="text1"/>
          <w:sz w:val="20"/>
          <w:szCs w:val="20"/>
        </w:rPr>
        <w:t xml:space="preserve">Regina: University of Regina Press, 2013), 95. </w:t>
      </w:r>
    </w:p>
  </w:footnote>
  <w:footnote w:id="7">
    <w:p w14:paraId="00000073" w14:textId="77777777" w:rsidR="000E25E9" w:rsidRPr="00CE7D4F" w:rsidRDefault="00A5386A">
      <w:pPr>
        <w:rPr>
          <w:color w:val="000000" w:themeColor="text1"/>
          <w:sz w:val="20"/>
          <w:szCs w:val="20"/>
          <w:highlight w:val="white"/>
        </w:rPr>
      </w:pPr>
      <w:r w:rsidRPr="00531C0F">
        <w:rPr>
          <w:rStyle w:val="FootnoteReference"/>
        </w:rPr>
        <w:footnoteRef/>
      </w:r>
      <w:r w:rsidRPr="00CE7D4F">
        <w:rPr>
          <w:color w:val="000000" w:themeColor="text1"/>
          <w:sz w:val="20"/>
          <w:szCs w:val="20"/>
        </w:rPr>
        <w:t xml:space="preserve"> </w:t>
      </w:r>
      <w:r w:rsidRPr="00CE7D4F">
        <w:rPr>
          <w:color w:val="000000" w:themeColor="text1"/>
          <w:sz w:val="20"/>
          <w:szCs w:val="20"/>
          <w:highlight w:val="white"/>
        </w:rPr>
        <w:t xml:space="preserve">Andrew Robb, “LAIRD, DAVID,” in </w:t>
      </w:r>
      <w:r w:rsidRPr="00CE7D4F">
        <w:rPr>
          <w:i/>
          <w:color w:val="000000" w:themeColor="text1"/>
          <w:sz w:val="20"/>
          <w:szCs w:val="20"/>
        </w:rPr>
        <w:t>Dictionary of Canadian Biography</w:t>
      </w:r>
      <w:r w:rsidRPr="00CE7D4F">
        <w:rPr>
          <w:color w:val="000000" w:themeColor="text1"/>
          <w:sz w:val="20"/>
          <w:szCs w:val="20"/>
          <w:highlight w:val="white"/>
        </w:rPr>
        <w:t xml:space="preserve"> 14 (University of Toronto/Université Laval, 2003); Irene M. Spry, “CHRISTIE, WILLIAM JOSEPH,” in </w:t>
      </w:r>
      <w:r w:rsidRPr="00CE7D4F">
        <w:rPr>
          <w:i/>
          <w:color w:val="000000" w:themeColor="text1"/>
          <w:sz w:val="20"/>
          <w:szCs w:val="20"/>
          <w:highlight w:val="white"/>
        </w:rPr>
        <w:t>Dictionary of Canadian Biography</w:t>
      </w:r>
      <w:r w:rsidRPr="00CE7D4F">
        <w:rPr>
          <w:color w:val="000000" w:themeColor="text1"/>
          <w:sz w:val="20"/>
          <w:szCs w:val="20"/>
          <w:highlight w:val="white"/>
        </w:rPr>
        <w:t xml:space="preserve"> 12 (University of Toronto/Université Laval, 2003).</w:t>
      </w:r>
    </w:p>
  </w:footnote>
  <w:footnote w:id="8">
    <w:p w14:paraId="00000063" w14:textId="77777777" w:rsidR="000E25E9" w:rsidRDefault="00A5386A">
      <w:pPr>
        <w:rPr>
          <w:sz w:val="20"/>
          <w:szCs w:val="20"/>
        </w:rPr>
      </w:pPr>
      <w:r w:rsidRPr="00531C0F">
        <w:rPr>
          <w:rStyle w:val="FootnoteReference"/>
        </w:rPr>
        <w:footnoteRef/>
      </w:r>
      <w:r w:rsidRPr="00CE7D4F">
        <w:rPr>
          <w:color w:val="000000" w:themeColor="text1"/>
          <w:sz w:val="20"/>
          <w:szCs w:val="20"/>
        </w:rPr>
        <w:t xml:space="preserve">  Beal, “An Indian Chief,” 114.</w:t>
      </w:r>
    </w:p>
  </w:footnote>
  <w:footnote w:id="9">
    <w:p w14:paraId="00000064" w14:textId="77777777"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Daschuk, </w:t>
      </w:r>
      <w:r w:rsidRPr="00CE7D4F">
        <w:rPr>
          <w:i/>
          <w:color w:val="000000" w:themeColor="text1"/>
          <w:sz w:val="20"/>
          <w:szCs w:val="20"/>
        </w:rPr>
        <w:t xml:space="preserve">Clearing the Plains, </w:t>
      </w:r>
      <w:r w:rsidRPr="00CE7D4F">
        <w:rPr>
          <w:color w:val="000000" w:themeColor="text1"/>
          <w:sz w:val="20"/>
          <w:szCs w:val="20"/>
        </w:rPr>
        <w:t>80-95.</w:t>
      </w:r>
    </w:p>
  </w:footnote>
  <w:footnote w:id="10">
    <w:p w14:paraId="00000065" w14:textId="77777777"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Sheldon Krasowski, </w:t>
      </w:r>
      <w:r w:rsidRPr="00CE7D4F">
        <w:rPr>
          <w:i/>
          <w:color w:val="000000" w:themeColor="text1"/>
          <w:sz w:val="20"/>
          <w:szCs w:val="20"/>
        </w:rPr>
        <w:t>No Surrender: The Land Remains Indigenous (</w:t>
      </w:r>
      <w:r w:rsidRPr="00CE7D4F">
        <w:rPr>
          <w:color w:val="000000" w:themeColor="text1"/>
          <w:sz w:val="20"/>
          <w:szCs w:val="20"/>
        </w:rPr>
        <w:t>Regina: University of Regina Press, 2019), 130.</w:t>
      </w:r>
    </w:p>
  </w:footnote>
  <w:footnote w:id="11">
    <w:p w14:paraId="00000066" w14:textId="77777777"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Albers, “Expert,” 7.</w:t>
      </w:r>
    </w:p>
  </w:footnote>
  <w:footnote w:id="12">
    <w:p w14:paraId="00000067" w14:textId="77777777"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Krasowski, </w:t>
      </w:r>
      <w:r w:rsidRPr="00CE7D4F">
        <w:rPr>
          <w:i/>
          <w:color w:val="000000" w:themeColor="text1"/>
          <w:sz w:val="20"/>
          <w:szCs w:val="20"/>
        </w:rPr>
        <w:t xml:space="preserve">No Surrender, </w:t>
      </w:r>
      <w:r w:rsidRPr="00CE7D4F">
        <w:rPr>
          <w:color w:val="000000" w:themeColor="text1"/>
          <w:sz w:val="20"/>
          <w:szCs w:val="20"/>
        </w:rPr>
        <w:t>130.</w:t>
      </w:r>
    </w:p>
  </w:footnote>
  <w:footnote w:id="13">
    <w:p w14:paraId="7BFCD7DF" w14:textId="23434E3A" w:rsidR="00CE7D4F" w:rsidRPr="00CE7D4F" w:rsidRDefault="00CE7D4F">
      <w:pPr>
        <w:rPr>
          <w:color w:val="000000" w:themeColor="text1"/>
          <w:sz w:val="20"/>
          <w:szCs w:val="20"/>
        </w:rPr>
      </w:pPr>
      <w:r w:rsidRPr="00531C0F">
        <w:rPr>
          <w:rStyle w:val="FootnoteReference"/>
        </w:rPr>
        <w:footnoteRef/>
      </w:r>
      <w:r w:rsidRPr="00CE7D4F">
        <w:rPr>
          <w:color w:val="000000" w:themeColor="text1"/>
          <w:sz w:val="20"/>
          <w:szCs w:val="20"/>
        </w:rPr>
        <w:t xml:space="preserve"> “The Qu’Appelle Treaty,” excerpt from Alexander Morris, </w:t>
      </w:r>
      <w:r w:rsidRPr="00CE7D4F">
        <w:rPr>
          <w:i/>
          <w:color w:val="000000" w:themeColor="text1"/>
          <w:sz w:val="20"/>
          <w:szCs w:val="20"/>
        </w:rPr>
        <w:t>The Treaties of Canada with the Indians of Manitoba the North-West Territories (</w:t>
      </w:r>
      <w:r w:rsidRPr="00CE7D4F">
        <w:rPr>
          <w:color w:val="000000" w:themeColor="text1"/>
          <w:sz w:val="20"/>
          <w:szCs w:val="20"/>
        </w:rPr>
        <w:t>Toronto: Belford’s, Clare &amp; Col, Publishers, 1880), 120-121.</w:t>
      </w:r>
    </w:p>
  </w:footnote>
  <w:footnote w:id="14">
    <w:p w14:paraId="00000069" w14:textId="4A779FDB" w:rsidR="000E25E9" w:rsidRPr="00CE7D4F" w:rsidRDefault="00A5386A">
      <w:pPr>
        <w:rPr>
          <w:color w:val="000000" w:themeColor="text1"/>
          <w:sz w:val="20"/>
          <w:szCs w:val="20"/>
        </w:rPr>
      </w:pPr>
      <w:r w:rsidRPr="00531C0F">
        <w:rPr>
          <w:rStyle w:val="FootnoteReference"/>
        </w:rPr>
        <w:footnoteRef/>
      </w:r>
      <w:r w:rsidR="00BA6375">
        <w:rPr>
          <w:color w:val="000000" w:themeColor="text1"/>
          <w:sz w:val="20"/>
          <w:szCs w:val="20"/>
        </w:rPr>
        <w:t xml:space="preserve"> </w:t>
      </w:r>
      <w:r w:rsidRPr="00CE7D4F">
        <w:rPr>
          <w:color w:val="000000" w:themeColor="text1"/>
          <w:sz w:val="20"/>
          <w:szCs w:val="20"/>
        </w:rPr>
        <w:t xml:space="preserve">Jean-Pierre </w:t>
      </w:r>
      <w:r w:rsidR="00CE7D4F" w:rsidRPr="00CE7D4F">
        <w:rPr>
          <w:color w:val="000000" w:themeColor="text1"/>
          <w:sz w:val="20"/>
          <w:szCs w:val="20"/>
        </w:rPr>
        <w:t>Morin</w:t>
      </w:r>
      <w:r w:rsidRPr="00CE7D4F">
        <w:rPr>
          <w:color w:val="000000" w:themeColor="text1"/>
          <w:sz w:val="20"/>
          <w:szCs w:val="20"/>
        </w:rPr>
        <w:t xml:space="preserve">, "Perceptions of Implementation: Treaty Signatory Views of Treaty Implementation,” in </w:t>
      </w:r>
      <w:r w:rsidRPr="00CE7D4F">
        <w:rPr>
          <w:i/>
          <w:color w:val="000000" w:themeColor="text1"/>
          <w:sz w:val="20"/>
          <w:szCs w:val="20"/>
        </w:rPr>
        <w:t>Aboriginal Policy Research Series</w:t>
      </w:r>
      <w:r w:rsidRPr="00CE7D4F">
        <w:rPr>
          <w:color w:val="000000" w:themeColor="text1"/>
          <w:sz w:val="20"/>
          <w:szCs w:val="20"/>
        </w:rPr>
        <w:t xml:space="preserve"> 4 (Thompson Educational Publishing, Inc., 2013), 125-126.</w:t>
      </w:r>
    </w:p>
  </w:footnote>
  <w:footnote w:id="15">
    <w:p w14:paraId="0000006A" w14:textId="77777777"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Krasowski, </w:t>
      </w:r>
      <w:r w:rsidRPr="00CE7D4F">
        <w:rPr>
          <w:i/>
          <w:color w:val="000000" w:themeColor="text1"/>
          <w:sz w:val="20"/>
          <w:szCs w:val="20"/>
        </w:rPr>
        <w:t xml:space="preserve">No Surrender, 131. </w:t>
      </w:r>
    </w:p>
  </w:footnote>
  <w:footnote w:id="16">
    <w:p w14:paraId="0000006B" w14:textId="77777777"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Blair Stonechild, “Recovering the Heritage of Treaty Four,” in P. Douaud and Bruce Dawson </w:t>
      </w:r>
      <w:r w:rsidRPr="00CE7D4F">
        <w:rPr>
          <w:i/>
          <w:color w:val="000000" w:themeColor="text1"/>
          <w:sz w:val="20"/>
          <w:szCs w:val="20"/>
        </w:rPr>
        <w:t>Plain Speaking: Essays on Aboriginal Peoples and the Prairie (</w:t>
      </w:r>
      <w:r w:rsidRPr="00CE7D4F">
        <w:rPr>
          <w:color w:val="000000" w:themeColor="text1"/>
          <w:sz w:val="20"/>
          <w:szCs w:val="20"/>
        </w:rPr>
        <w:t xml:space="preserve">Regina: Canadian Plains Research Centre, 2002), 2. </w:t>
      </w:r>
    </w:p>
  </w:footnote>
  <w:footnote w:id="17">
    <w:p w14:paraId="0000006C" w14:textId="77777777"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Daschuk, </w:t>
      </w:r>
      <w:r w:rsidRPr="00CE7D4F">
        <w:rPr>
          <w:i/>
          <w:color w:val="000000" w:themeColor="text1"/>
          <w:sz w:val="20"/>
          <w:szCs w:val="20"/>
        </w:rPr>
        <w:t xml:space="preserve">Clearing the Plains, </w:t>
      </w:r>
      <w:r w:rsidRPr="00CE7D4F">
        <w:rPr>
          <w:color w:val="000000" w:themeColor="text1"/>
          <w:sz w:val="20"/>
          <w:szCs w:val="20"/>
        </w:rPr>
        <w:t>95.</w:t>
      </w:r>
    </w:p>
  </w:footnote>
  <w:footnote w:id="18">
    <w:p w14:paraId="0000006D" w14:textId="77777777"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Krasowski, </w:t>
      </w:r>
      <w:r w:rsidRPr="00CE7D4F">
        <w:rPr>
          <w:i/>
          <w:color w:val="000000" w:themeColor="text1"/>
          <w:sz w:val="20"/>
          <w:szCs w:val="20"/>
        </w:rPr>
        <w:t>No Surrender, 139.</w:t>
      </w:r>
    </w:p>
  </w:footnote>
  <w:footnote w:id="19">
    <w:p w14:paraId="0000006E" w14:textId="39EC5EF9"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“The Qu’Appelle Treaty,” excerpt from Alexander Morris, 11</w:t>
      </w:r>
      <w:r w:rsidR="00F152CC">
        <w:rPr>
          <w:color w:val="000000" w:themeColor="text1"/>
          <w:sz w:val="20"/>
          <w:szCs w:val="20"/>
        </w:rPr>
        <w:t>1</w:t>
      </w:r>
      <w:r w:rsidRPr="00CE7D4F">
        <w:rPr>
          <w:color w:val="000000" w:themeColor="text1"/>
          <w:sz w:val="20"/>
          <w:szCs w:val="20"/>
        </w:rPr>
        <w:t>.</w:t>
      </w:r>
    </w:p>
  </w:footnote>
  <w:footnote w:id="20">
    <w:p w14:paraId="0000006F" w14:textId="77777777" w:rsidR="000E25E9" w:rsidRDefault="00A5386A">
      <w:pPr>
        <w:rPr>
          <w:sz w:val="20"/>
          <w:szCs w:val="20"/>
        </w:rPr>
      </w:pPr>
      <w:r w:rsidRPr="00531C0F">
        <w:rPr>
          <w:rStyle w:val="FootnoteReference"/>
        </w:rPr>
        <w:footnoteRef/>
      </w:r>
      <w:r w:rsidRPr="00CE7D4F">
        <w:rPr>
          <w:color w:val="000000" w:themeColor="text1"/>
          <w:sz w:val="20"/>
          <w:szCs w:val="20"/>
        </w:rPr>
        <w:t xml:space="preserve"> “The Qu’Appelle Treaty, Number Four,” Appendix Morris, </w:t>
      </w:r>
      <w:r w:rsidRPr="00CE7D4F">
        <w:rPr>
          <w:i/>
          <w:color w:val="000000" w:themeColor="text1"/>
          <w:sz w:val="20"/>
          <w:szCs w:val="20"/>
        </w:rPr>
        <w:t>Treaties</w:t>
      </w:r>
      <w:r w:rsidRPr="00CE7D4F">
        <w:rPr>
          <w:color w:val="000000" w:themeColor="text1"/>
          <w:sz w:val="20"/>
          <w:szCs w:val="20"/>
        </w:rPr>
        <w:t xml:space="preserve">, 330 – 335; Blair Stonechild, “Treaty 4,” Indigenous Saskatchewan Encyclopedia (University of Saskatchewan). </w:t>
      </w:r>
    </w:p>
  </w:footnote>
  <w:footnote w:id="21">
    <w:p w14:paraId="00000070" w14:textId="6B825BF2"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w:t>
      </w:r>
      <w:r w:rsidR="00CE7D4F" w:rsidRPr="00CE7D4F">
        <w:rPr>
          <w:color w:val="000000" w:themeColor="text1"/>
          <w:sz w:val="20"/>
          <w:szCs w:val="20"/>
        </w:rPr>
        <w:t>Morin</w:t>
      </w:r>
      <w:r w:rsidRPr="00CE7D4F">
        <w:rPr>
          <w:color w:val="000000" w:themeColor="text1"/>
          <w:sz w:val="20"/>
          <w:szCs w:val="20"/>
        </w:rPr>
        <w:t>, "Perceptions of Implementation,” 127.</w:t>
      </w:r>
    </w:p>
  </w:footnote>
  <w:footnote w:id="22">
    <w:p w14:paraId="00000071" w14:textId="2A554EED" w:rsidR="000E25E9" w:rsidRPr="00CE7D4F" w:rsidRDefault="00A5386A">
      <w:pPr>
        <w:rPr>
          <w:color w:val="000000" w:themeColor="text1"/>
          <w:sz w:val="20"/>
          <w:szCs w:val="20"/>
        </w:rPr>
      </w:pPr>
      <w:r w:rsidRPr="00531C0F">
        <w:rPr>
          <w:rStyle w:val="FootnoteReference"/>
        </w:rPr>
        <w:footnoteRef/>
      </w:r>
      <w:r w:rsidRPr="00CE7D4F">
        <w:rPr>
          <w:color w:val="000000" w:themeColor="text1"/>
          <w:sz w:val="20"/>
          <w:szCs w:val="20"/>
        </w:rPr>
        <w:t xml:space="preserve"> NS</w:t>
      </w:r>
      <w:r w:rsidR="00E647F1">
        <w:rPr>
          <w:color w:val="000000" w:themeColor="text1"/>
          <w:sz w:val="20"/>
          <w:szCs w:val="20"/>
        </w:rPr>
        <w:t xml:space="preserve"> </w:t>
      </w:r>
      <w:r w:rsidRPr="00CE7D4F">
        <w:rPr>
          <w:color w:val="000000" w:themeColor="text1"/>
          <w:sz w:val="20"/>
          <w:szCs w:val="20"/>
        </w:rPr>
        <w:t xml:space="preserve">Assignment #2, </w:t>
      </w:r>
      <w:proofErr w:type="spellStart"/>
      <w:r w:rsidRPr="00CE7D4F">
        <w:rPr>
          <w:color w:val="000000" w:themeColor="text1"/>
          <w:sz w:val="20"/>
          <w:szCs w:val="20"/>
        </w:rPr>
        <w:t>Eclass</w:t>
      </w:r>
      <w:proofErr w:type="spellEnd"/>
      <w:r w:rsidRPr="00CE7D4F">
        <w:rPr>
          <w:color w:val="000000" w:themeColor="text1"/>
          <w:sz w:val="20"/>
          <w:szCs w:val="20"/>
        </w:rPr>
        <w:t xml:space="preserve">, 2. </w:t>
      </w:r>
    </w:p>
  </w:footnote>
  <w:footnote w:id="23">
    <w:p w14:paraId="51259C9C" w14:textId="77777777" w:rsidR="008E2E72" w:rsidRDefault="008E2E72" w:rsidP="008E2E72">
      <w:pPr>
        <w:rPr>
          <w:sz w:val="20"/>
          <w:szCs w:val="20"/>
        </w:rPr>
      </w:pPr>
      <w:r w:rsidRPr="00531C0F">
        <w:rPr>
          <w:rStyle w:val="FootnoteReference"/>
        </w:rPr>
        <w:footnoteRef/>
      </w:r>
      <w:r w:rsidRPr="00CE7D4F">
        <w:rPr>
          <w:color w:val="000000" w:themeColor="text1"/>
          <w:sz w:val="20"/>
          <w:szCs w:val="20"/>
        </w:rPr>
        <w:t xml:space="preserve"> “[W.J.] Christie and [M.G.] Dickieson to the Hon the Minister of the Interior [David</w:t>
      </w:r>
      <w:r>
        <w:rPr>
          <w:color w:val="000000" w:themeColor="text1"/>
          <w:sz w:val="20"/>
          <w:szCs w:val="20"/>
        </w:rPr>
        <w:t xml:space="preserve"> </w:t>
      </w:r>
      <w:r w:rsidRPr="00CE7D4F">
        <w:rPr>
          <w:color w:val="000000" w:themeColor="text1"/>
          <w:sz w:val="20"/>
          <w:szCs w:val="20"/>
        </w:rPr>
        <w:t xml:space="preserve">Laird],” 7 Oct. 1875, in Canada </w:t>
      </w:r>
      <w:r w:rsidRPr="00CE7D4F">
        <w:rPr>
          <w:i/>
          <w:color w:val="000000" w:themeColor="text1"/>
          <w:sz w:val="20"/>
          <w:szCs w:val="20"/>
        </w:rPr>
        <w:t xml:space="preserve">Sessional Papers, </w:t>
      </w:r>
      <w:r w:rsidRPr="00CE7D4F">
        <w:rPr>
          <w:color w:val="000000" w:themeColor="text1"/>
          <w:sz w:val="20"/>
          <w:szCs w:val="20"/>
        </w:rPr>
        <w:t xml:space="preserve">Annual Report of the Department of the Interior for the year ended 30 June 1875, xxiii. </w:t>
      </w:r>
    </w:p>
  </w:footnote>
  <w:footnote w:id="24">
    <w:p w14:paraId="00000074" w14:textId="6D06A289" w:rsidR="000E25E9" w:rsidRDefault="00A5386A">
      <w:pPr>
        <w:rPr>
          <w:sz w:val="20"/>
          <w:szCs w:val="20"/>
        </w:rPr>
      </w:pPr>
      <w:r w:rsidRPr="00531C0F">
        <w:rPr>
          <w:rStyle w:val="FootnoteReference"/>
        </w:rPr>
        <w:footnoteRef/>
      </w:r>
      <w:r w:rsidRPr="00CE7D4F">
        <w:rPr>
          <w:color w:val="000000" w:themeColor="text1"/>
          <w:sz w:val="20"/>
          <w:szCs w:val="20"/>
        </w:rPr>
        <w:t xml:space="preserve"> </w:t>
      </w:r>
      <w:r w:rsidR="008E2E72" w:rsidRPr="00CE7D4F">
        <w:rPr>
          <w:sz w:val="20"/>
          <w:szCs w:val="20"/>
        </w:rPr>
        <w:t>“[W.J.] Christie and [M.G.] Dickieson,” Annual Report of the Department of the Interior</w:t>
      </w:r>
      <w:r w:rsidR="008E2E72">
        <w:rPr>
          <w:sz w:val="20"/>
          <w:szCs w:val="20"/>
        </w:rPr>
        <w:t xml:space="preserve">, </w:t>
      </w:r>
      <w:r w:rsidRPr="00CE7D4F">
        <w:rPr>
          <w:color w:val="000000" w:themeColor="text1"/>
          <w:sz w:val="20"/>
          <w:szCs w:val="20"/>
        </w:rPr>
        <w:t xml:space="preserve">xxiii. </w:t>
      </w:r>
    </w:p>
  </w:footnote>
  <w:footnote w:id="25">
    <w:p w14:paraId="00000075" w14:textId="6E71073D" w:rsidR="000E25E9" w:rsidRPr="00CE7D4F" w:rsidRDefault="00A5386A">
      <w:pPr>
        <w:rPr>
          <w:sz w:val="20"/>
          <w:szCs w:val="20"/>
        </w:rPr>
      </w:pPr>
      <w:r w:rsidRPr="00531C0F">
        <w:rPr>
          <w:rStyle w:val="FootnoteReference"/>
        </w:rPr>
        <w:footnoteRef/>
      </w:r>
      <w:r w:rsidRPr="00CE7D4F">
        <w:rPr>
          <w:sz w:val="20"/>
          <w:szCs w:val="20"/>
        </w:rPr>
        <w:t xml:space="preserve"> LAC, RG 10, v. 3626, f. 5828, Lieutenant –Governor Alexander Morris to David Laird, 7 </w:t>
      </w:r>
      <w:r w:rsidR="00CE7D4F" w:rsidRPr="00CE7D4F">
        <w:rPr>
          <w:sz w:val="20"/>
          <w:szCs w:val="20"/>
        </w:rPr>
        <w:t>Jan.</w:t>
      </w:r>
      <w:r w:rsidRPr="00CE7D4F">
        <w:rPr>
          <w:sz w:val="20"/>
          <w:szCs w:val="20"/>
        </w:rPr>
        <w:t xml:space="preserve"> 1876.</w:t>
      </w:r>
    </w:p>
  </w:footnote>
  <w:footnote w:id="26">
    <w:p w14:paraId="00000076" w14:textId="77777777" w:rsidR="000E25E9" w:rsidRPr="00CE7D4F" w:rsidRDefault="00A5386A">
      <w:pPr>
        <w:rPr>
          <w:sz w:val="20"/>
          <w:szCs w:val="20"/>
        </w:rPr>
      </w:pPr>
      <w:r w:rsidRPr="00531C0F">
        <w:rPr>
          <w:rStyle w:val="FootnoteReference"/>
        </w:rPr>
        <w:footnoteRef/>
      </w:r>
      <w:r w:rsidRPr="00CE7D4F">
        <w:rPr>
          <w:sz w:val="20"/>
          <w:szCs w:val="20"/>
        </w:rPr>
        <w:t xml:space="preserve"> Beal, “An Indian Chief,” 120.</w:t>
      </w:r>
    </w:p>
  </w:footnote>
  <w:footnote w:id="27">
    <w:p w14:paraId="00000077" w14:textId="77777777" w:rsidR="000E25E9" w:rsidRPr="00CE7D4F" w:rsidRDefault="00A5386A">
      <w:pPr>
        <w:rPr>
          <w:sz w:val="20"/>
          <w:szCs w:val="20"/>
        </w:rPr>
      </w:pPr>
      <w:r w:rsidRPr="00531C0F">
        <w:rPr>
          <w:rStyle w:val="FootnoteReference"/>
        </w:rPr>
        <w:footnoteRef/>
      </w:r>
      <w:r w:rsidRPr="00CE7D4F">
        <w:rPr>
          <w:sz w:val="20"/>
          <w:szCs w:val="20"/>
        </w:rPr>
        <w:t xml:space="preserve"> Stonechild, “Recovering the Heritage,” 3.</w:t>
      </w:r>
    </w:p>
  </w:footnote>
  <w:footnote w:id="28">
    <w:p w14:paraId="00000078" w14:textId="77777777" w:rsidR="000E25E9" w:rsidRPr="00CE7D4F" w:rsidRDefault="00A5386A">
      <w:pPr>
        <w:rPr>
          <w:sz w:val="20"/>
          <w:szCs w:val="20"/>
        </w:rPr>
      </w:pPr>
      <w:r w:rsidRPr="00531C0F">
        <w:rPr>
          <w:rStyle w:val="FootnoteReference"/>
        </w:rPr>
        <w:footnoteRef/>
      </w:r>
      <w:r w:rsidRPr="00CE7D4F">
        <w:rPr>
          <w:sz w:val="20"/>
          <w:szCs w:val="20"/>
        </w:rPr>
        <w:t xml:space="preserve"> “The Qu’Appelle Treaty,” excerpt from Alexander Morris, 90. </w:t>
      </w:r>
    </w:p>
  </w:footnote>
  <w:footnote w:id="29">
    <w:p w14:paraId="00000079" w14:textId="1C5920B1" w:rsidR="000E25E9" w:rsidRPr="00CE7D4F" w:rsidRDefault="00A5386A">
      <w:pPr>
        <w:rPr>
          <w:sz w:val="20"/>
          <w:szCs w:val="20"/>
        </w:rPr>
      </w:pPr>
      <w:r w:rsidRPr="00531C0F">
        <w:rPr>
          <w:rStyle w:val="FootnoteReference"/>
        </w:rPr>
        <w:footnoteRef/>
      </w:r>
      <w:r w:rsidRPr="00CE7D4F">
        <w:rPr>
          <w:sz w:val="20"/>
          <w:szCs w:val="20"/>
        </w:rPr>
        <w:t xml:space="preserve"> </w:t>
      </w:r>
      <w:r w:rsidR="00CE7D4F" w:rsidRPr="00CE7D4F">
        <w:rPr>
          <w:sz w:val="20"/>
          <w:szCs w:val="20"/>
        </w:rPr>
        <w:t>Morin</w:t>
      </w:r>
      <w:r w:rsidRPr="00CE7D4F">
        <w:rPr>
          <w:sz w:val="20"/>
          <w:szCs w:val="20"/>
        </w:rPr>
        <w:t>, "Perceptions of Implementation,” 127.</w:t>
      </w:r>
    </w:p>
  </w:footnote>
  <w:footnote w:id="30">
    <w:p w14:paraId="0000007A" w14:textId="77777777" w:rsidR="000E25E9" w:rsidRPr="00CE7D4F" w:rsidRDefault="00A5386A">
      <w:pPr>
        <w:rPr>
          <w:sz w:val="20"/>
          <w:szCs w:val="20"/>
        </w:rPr>
      </w:pPr>
      <w:r w:rsidRPr="00531C0F">
        <w:rPr>
          <w:rStyle w:val="FootnoteReference"/>
        </w:rPr>
        <w:footnoteRef/>
      </w:r>
      <w:r w:rsidRPr="00CE7D4F">
        <w:rPr>
          <w:sz w:val="20"/>
          <w:szCs w:val="20"/>
        </w:rPr>
        <w:t xml:space="preserve"> Krasowski, </w:t>
      </w:r>
      <w:r w:rsidRPr="00CE7D4F">
        <w:rPr>
          <w:i/>
          <w:sz w:val="20"/>
          <w:szCs w:val="20"/>
        </w:rPr>
        <w:t>No Surrender, 140.</w:t>
      </w:r>
    </w:p>
  </w:footnote>
  <w:footnote w:id="31">
    <w:p w14:paraId="0000007B" w14:textId="2C35E74A" w:rsidR="000E25E9" w:rsidRDefault="00A5386A">
      <w:pPr>
        <w:rPr>
          <w:sz w:val="20"/>
          <w:szCs w:val="20"/>
        </w:rPr>
      </w:pPr>
      <w:r w:rsidRPr="00531C0F">
        <w:rPr>
          <w:rStyle w:val="FootnoteReference"/>
        </w:rPr>
        <w:footnoteRef/>
      </w:r>
      <w:r w:rsidRPr="00CE7D4F">
        <w:rPr>
          <w:sz w:val="20"/>
          <w:szCs w:val="20"/>
        </w:rPr>
        <w:t xml:space="preserve"> Beal, “An Indian Chief,” 110.</w:t>
      </w:r>
      <w:r>
        <w:rPr>
          <w:sz w:val="20"/>
          <w:szCs w:val="20"/>
        </w:rPr>
        <w:t xml:space="preserve"> </w:t>
      </w:r>
    </w:p>
  </w:footnote>
  <w:footnote w:id="32">
    <w:p w14:paraId="0000007C" w14:textId="77777777" w:rsidR="000E25E9" w:rsidRPr="00CE7D4F" w:rsidRDefault="00A5386A">
      <w:pPr>
        <w:rPr>
          <w:sz w:val="20"/>
          <w:szCs w:val="20"/>
        </w:rPr>
      </w:pPr>
      <w:r w:rsidRPr="00531C0F">
        <w:rPr>
          <w:rStyle w:val="FootnoteReference"/>
        </w:rPr>
        <w:footnoteRef/>
      </w:r>
      <w:r w:rsidRPr="00CE7D4F">
        <w:rPr>
          <w:sz w:val="20"/>
          <w:szCs w:val="20"/>
        </w:rPr>
        <w:t xml:space="preserve"> Krasowski, </w:t>
      </w:r>
      <w:r w:rsidRPr="00CE7D4F">
        <w:rPr>
          <w:i/>
          <w:sz w:val="20"/>
          <w:szCs w:val="20"/>
        </w:rPr>
        <w:t>No Surrender, 140.</w:t>
      </w:r>
    </w:p>
  </w:footnote>
  <w:footnote w:id="33">
    <w:p w14:paraId="0000007D" w14:textId="5958FE46" w:rsidR="000E25E9" w:rsidRPr="00CE7D4F" w:rsidRDefault="00A5386A">
      <w:pPr>
        <w:rPr>
          <w:sz w:val="20"/>
          <w:szCs w:val="20"/>
        </w:rPr>
      </w:pPr>
      <w:r w:rsidRPr="00531C0F">
        <w:rPr>
          <w:rStyle w:val="FootnoteReference"/>
        </w:rPr>
        <w:footnoteRef/>
      </w:r>
      <w:r w:rsidRPr="00CE7D4F">
        <w:rPr>
          <w:sz w:val="20"/>
          <w:szCs w:val="20"/>
        </w:rPr>
        <w:t xml:space="preserve"> Beal, “An Indian Chief,” 140-41</w:t>
      </w:r>
      <w:r w:rsidR="004C6009">
        <w:rPr>
          <w:sz w:val="20"/>
          <w:szCs w:val="20"/>
        </w:rPr>
        <w:t>.</w:t>
      </w:r>
    </w:p>
  </w:footnote>
  <w:footnote w:id="34">
    <w:p w14:paraId="705C4EA4" w14:textId="77777777" w:rsidR="00F152CC" w:rsidRDefault="00F152CC" w:rsidP="00F152CC">
      <w:pPr>
        <w:pStyle w:val="FootnoteText"/>
      </w:pPr>
      <w:r>
        <w:rPr>
          <w:rStyle w:val="FootnoteReference"/>
        </w:rPr>
        <w:footnoteRef/>
      </w:r>
      <w:r>
        <w:t xml:space="preserve"> </w:t>
      </w:r>
      <w:r w:rsidRPr="00CE7D4F">
        <w:t>Beal, “An Indian Chief,” 1</w:t>
      </w:r>
      <w:r>
        <w:t>39-42.</w:t>
      </w:r>
    </w:p>
  </w:footnote>
  <w:footnote w:id="35">
    <w:p w14:paraId="0AAC488D" w14:textId="2CAE7AB6" w:rsidR="00F152CC" w:rsidRDefault="00F152CC">
      <w:pPr>
        <w:pStyle w:val="FootnoteText"/>
      </w:pPr>
      <w:r>
        <w:rPr>
          <w:rStyle w:val="FootnoteReference"/>
        </w:rPr>
        <w:footnoteRef/>
      </w:r>
      <w:r>
        <w:t xml:space="preserve"> </w:t>
      </w:r>
      <w:r w:rsidRPr="00F152CC">
        <w:rPr>
          <w:color w:val="000000" w:themeColor="text1"/>
        </w:rPr>
        <w:t xml:space="preserve">Canada, </w:t>
      </w:r>
      <w:r w:rsidRPr="00F152CC">
        <w:rPr>
          <w:i/>
          <w:iCs/>
          <w:color w:val="000000" w:themeColor="text1"/>
        </w:rPr>
        <w:t>Sessional Papers</w:t>
      </w:r>
      <w:r w:rsidRPr="00F152CC">
        <w:rPr>
          <w:color w:val="000000" w:themeColor="text1"/>
        </w:rPr>
        <w:t xml:space="preserve">, Annual Report of the Department of Indian Affairs for the year ended 31 </w:t>
      </w:r>
      <w:proofErr w:type="gramStart"/>
      <w:r w:rsidRPr="00F152CC">
        <w:rPr>
          <w:color w:val="000000" w:themeColor="text1"/>
        </w:rPr>
        <w:t>Dec.,</w:t>
      </w:r>
      <w:proofErr w:type="gramEnd"/>
      <w:r w:rsidRPr="00F152CC">
        <w:rPr>
          <w:color w:val="000000" w:themeColor="text1"/>
        </w:rPr>
        <w:t xml:space="preserve"> 1881. Edgar Dewdney’s report to the Superintendent General of Indian Affairs, 1st Jan.,1882, 4</w:t>
      </w:r>
      <w:r>
        <w:rPr>
          <w:color w:val="000000" w:themeColor="text1"/>
        </w:rPr>
        <w:t>0.</w:t>
      </w:r>
    </w:p>
  </w:footnote>
  <w:footnote w:id="36">
    <w:p w14:paraId="33D50D3C" w14:textId="5C82AE70" w:rsidR="00F152CC" w:rsidRPr="00F152CC" w:rsidRDefault="00F152CC" w:rsidP="00F152CC">
      <w:pPr>
        <w:rPr>
          <w:sz w:val="20"/>
          <w:szCs w:val="20"/>
        </w:rPr>
      </w:pPr>
      <w:r w:rsidRPr="00F152CC">
        <w:rPr>
          <w:rStyle w:val="FootnoteReference"/>
          <w:color w:val="000000" w:themeColor="text1"/>
          <w:sz w:val="20"/>
          <w:szCs w:val="20"/>
        </w:rPr>
        <w:footnoteRef/>
      </w:r>
      <w:r>
        <w:rPr>
          <w:color w:val="000000"/>
          <w:sz w:val="20"/>
          <w:szCs w:val="20"/>
        </w:rPr>
        <w:t xml:space="preserve"> </w:t>
      </w:r>
      <w:r w:rsidRPr="00056D95">
        <w:rPr>
          <w:color w:val="000000"/>
          <w:sz w:val="20"/>
          <w:szCs w:val="20"/>
        </w:rPr>
        <w:t xml:space="preserve">Canada, </w:t>
      </w:r>
      <w:r w:rsidRPr="00056D95">
        <w:rPr>
          <w:i/>
          <w:iCs/>
          <w:color w:val="000000"/>
          <w:sz w:val="20"/>
          <w:szCs w:val="20"/>
        </w:rPr>
        <w:t>Sessional Papers</w:t>
      </w:r>
      <w:r w:rsidRPr="00056D95">
        <w:rPr>
          <w:color w:val="000000"/>
          <w:sz w:val="20"/>
          <w:szCs w:val="20"/>
        </w:rPr>
        <w:t xml:space="preserve">, 31 </w:t>
      </w:r>
      <w:proofErr w:type="gramStart"/>
      <w:r w:rsidRPr="00056D95">
        <w:rPr>
          <w:color w:val="000000"/>
          <w:sz w:val="20"/>
          <w:szCs w:val="20"/>
        </w:rPr>
        <w:t>Dec.,</w:t>
      </w:r>
      <w:proofErr w:type="gramEnd"/>
      <w:r w:rsidRPr="00056D95">
        <w:rPr>
          <w:color w:val="000000"/>
          <w:sz w:val="20"/>
          <w:szCs w:val="20"/>
        </w:rPr>
        <w:t xml:space="preserve"> 1881. Edgar Dewdney’s report 1st Jan.,1882,</w:t>
      </w:r>
      <w:r>
        <w:rPr>
          <w:color w:val="000000"/>
          <w:sz w:val="20"/>
          <w:szCs w:val="20"/>
        </w:rPr>
        <w:t xml:space="preserve"> 40</w:t>
      </w:r>
      <w:r w:rsidRPr="00F152CC">
        <w:rPr>
          <w:color w:val="000000" w:themeColor="text1"/>
          <w:sz w:val="20"/>
          <w:szCs w:val="20"/>
        </w:rPr>
        <w:t xml:space="preserve">; </w:t>
      </w:r>
      <w:r w:rsidRPr="00F152CC">
        <w:rPr>
          <w:color w:val="000000" w:themeColor="text1"/>
          <w:sz w:val="20"/>
          <w:szCs w:val="20"/>
          <w:shd w:val="clear" w:color="auto" w:fill="FFFFFF"/>
        </w:rPr>
        <w:t xml:space="preserve">E. Brian </w:t>
      </w:r>
      <w:proofErr w:type="spellStart"/>
      <w:r w:rsidRPr="00F152CC">
        <w:rPr>
          <w:color w:val="000000" w:themeColor="text1"/>
          <w:sz w:val="20"/>
          <w:szCs w:val="20"/>
          <w:shd w:val="clear" w:color="auto" w:fill="FFFFFF"/>
        </w:rPr>
        <w:t>Titley</w:t>
      </w:r>
      <w:proofErr w:type="spellEnd"/>
      <w:r w:rsidRPr="00F152CC">
        <w:rPr>
          <w:color w:val="000000" w:themeColor="text1"/>
          <w:sz w:val="20"/>
          <w:szCs w:val="20"/>
          <w:shd w:val="clear" w:color="auto" w:fill="FFFFFF"/>
        </w:rPr>
        <w:t>, “DEWDNEY, EDGAR,” in</w:t>
      </w:r>
      <w:r w:rsidRPr="00F152CC">
        <w:rPr>
          <w:rStyle w:val="apple-converted-space"/>
          <w:color w:val="000000" w:themeColor="text1"/>
          <w:sz w:val="20"/>
          <w:szCs w:val="20"/>
          <w:shd w:val="clear" w:color="auto" w:fill="FFFFFF"/>
        </w:rPr>
        <w:t> </w:t>
      </w:r>
      <w:r w:rsidRPr="00F152CC">
        <w:rPr>
          <w:rStyle w:val="Emphasis"/>
          <w:color w:val="000000" w:themeColor="text1"/>
          <w:sz w:val="20"/>
          <w:szCs w:val="20"/>
          <w:bdr w:val="none" w:sz="0" w:space="0" w:color="auto" w:frame="1"/>
        </w:rPr>
        <w:t>Dictionary of Canadian Biography</w:t>
      </w:r>
      <w:r w:rsidRPr="00F152CC">
        <w:rPr>
          <w:color w:val="000000" w:themeColor="text1"/>
          <w:sz w:val="20"/>
          <w:szCs w:val="20"/>
          <w:shd w:val="clear" w:color="auto" w:fill="FFFFFF"/>
        </w:rPr>
        <w:t>, vol. 14, University of Toronto/</w:t>
      </w:r>
      <w:proofErr w:type="spellStart"/>
      <w:r w:rsidRPr="00F152CC">
        <w:rPr>
          <w:color w:val="000000" w:themeColor="text1"/>
          <w:sz w:val="20"/>
          <w:szCs w:val="20"/>
          <w:shd w:val="clear" w:color="auto" w:fill="FFFFFF"/>
        </w:rPr>
        <w:t>Université</w:t>
      </w:r>
      <w:proofErr w:type="spellEnd"/>
      <w:r w:rsidRPr="00F152CC">
        <w:rPr>
          <w:color w:val="000000" w:themeColor="text1"/>
          <w:sz w:val="20"/>
          <w:szCs w:val="20"/>
          <w:shd w:val="clear" w:color="auto" w:fill="FFFFFF"/>
        </w:rPr>
        <w:t xml:space="preserve"> Laval, 2003. </w:t>
      </w:r>
    </w:p>
  </w:footnote>
  <w:footnote w:id="37">
    <w:p w14:paraId="467E45F6" w14:textId="7D3B221A" w:rsidR="00F152CC" w:rsidRDefault="00F152CC">
      <w:pPr>
        <w:pStyle w:val="FootnoteText"/>
      </w:pPr>
      <w:r>
        <w:rPr>
          <w:rStyle w:val="FootnoteReference"/>
        </w:rPr>
        <w:footnoteRef/>
      </w:r>
      <w:r>
        <w:t xml:space="preserve"> </w:t>
      </w:r>
      <w:r w:rsidRPr="00056D95">
        <w:rPr>
          <w:color w:val="000000"/>
        </w:rPr>
        <w:t xml:space="preserve">Canada, </w:t>
      </w:r>
      <w:r w:rsidRPr="00056D95">
        <w:rPr>
          <w:i/>
          <w:iCs/>
          <w:color w:val="000000"/>
        </w:rPr>
        <w:t>Sessional Papers</w:t>
      </w:r>
      <w:r w:rsidRPr="00056D95">
        <w:rPr>
          <w:color w:val="000000"/>
        </w:rPr>
        <w:t xml:space="preserve">, 31 </w:t>
      </w:r>
      <w:proofErr w:type="gramStart"/>
      <w:r w:rsidRPr="00056D95">
        <w:rPr>
          <w:color w:val="000000"/>
        </w:rPr>
        <w:t>Dec.,</w:t>
      </w:r>
      <w:proofErr w:type="gramEnd"/>
      <w:r w:rsidRPr="00056D95">
        <w:rPr>
          <w:color w:val="000000"/>
        </w:rPr>
        <w:t xml:space="preserve"> 1881. Edgar Dewdney’s report 1st Jan.,1882,</w:t>
      </w:r>
      <w:r>
        <w:rPr>
          <w:color w:val="000000"/>
        </w:rPr>
        <w:t xml:space="preserve"> 40. </w:t>
      </w:r>
    </w:p>
  </w:footnote>
  <w:footnote w:id="38">
    <w:p w14:paraId="0000007E" w14:textId="0925536D" w:rsidR="000E25E9" w:rsidRDefault="00A5386A">
      <w:pPr>
        <w:rPr>
          <w:sz w:val="20"/>
          <w:szCs w:val="20"/>
        </w:rPr>
      </w:pPr>
      <w:r w:rsidRPr="00531C0F">
        <w:rPr>
          <w:rStyle w:val="FootnoteReference"/>
        </w:rPr>
        <w:footnoteRef/>
      </w:r>
      <w:r w:rsidRPr="00CE7D4F">
        <w:rPr>
          <w:sz w:val="20"/>
          <w:szCs w:val="20"/>
        </w:rPr>
        <w:t xml:space="preserve"> Albers, “Excerpt,” 9.</w:t>
      </w:r>
      <w:r w:rsidR="00F152CC">
        <w:rPr>
          <w:sz w:val="20"/>
          <w:szCs w:val="20"/>
        </w:rPr>
        <w:t xml:space="preserve"> </w:t>
      </w:r>
    </w:p>
  </w:footnote>
  <w:footnote w:id="39">
    <w:p w14:paraId="2854BB3E" w14:textId="77777777" w:rsidR="002D6F4F" w:rsidRPr="00CE7D4F" w:rsidRDefault="002D6F4F" w:rsidP="002D6F4F">
      <w:pPr>
        <w:rPr>
          <w:sz w:val="20"/>
          <w:szCs w:val="20"/>
        </w:rPr>
      </w:pPr>
      <w:r w:rsidRPr="00531C0F">
        <w:rPr>
          <w:rStyle w:val="FootnoteReference"/>
        </w:rPr>
        <w:footnoteRef/>
      </w:r>
      <w:r w:rsidRPr="00CE7D4F">
        <w:rPr>
          <w:sz w:val="20"/>
          <w:szCs w:val="20"/>
        </w:rPr>
        <w:t xml:space="preserve"> Sarah Carter “We Must Farm to Enable Us to Live: The Plains Cree in Agriculture in 1900” (2013), 339-340.  </w:t>
      </w:r>
    </w:p>
  </w:footnote>
  <w:footnote w:id="40">
    <w:p w14:paraId="0000007F" w14:textId="34160FFE" w:rsidR="000E25E9" w:rsidRPr="00CE7D4F" w:rsidRDefault="00A5386A">
      <w:pPr>
        <w:rPr>
          <w:sz w:val="20"/>
          <w:szCs w:val="20"/>
        </w:rPr>
      </w:pPr>
      <w:r w:rsidRPr="00531C0F">
        <w:rPr>
          <w:rStyle w:val="FootnoteReference"/>
        </w:rPr>
        <w:footnoteRef/>
      </w:r>
      <w:r w:rsidRPr="00CE7D4F">
        <w:rPr>
          <w:sz w:val="20"/>
          <w:szCs w:val="20"/>
        </w:rPr>
        <w:t xml:space="preserve"> </w:t>
      </w:r>
      <w:r w:rsidR="002D6F4F" w:rsidRPr="00CE7D4F">
        <w:rPr>
          <w:sz w:val="20"/>
          <w:szCs w:val="20"/>
        </w:rPr>
        <w:t>Carter “We Must Farm to Enable Us to Live,”</w:t>
      </w:r>
      <w:r w:rsidR="002D6F4F">
        <w:rPr>
          <w:sz w:val="20"/>
          <w:szCs w:val="20"/>
        </w:rPr>
        <w:t xml:space="preserve"> </w:t>
      </w:r>
      <w:r w:rsidRPr="00CE7D4F">
        <w:rPr>
          <w:sz w:val="20"/>
          <w:szCs w:val="20"/>
        </w:rPr>
        <w:t xml:space="preserve">339-340.  </w:t>
      </w:r>
    </w:p>
  </w:footnote>
  <w:footnote w:id="41">
    <w:p w14:paraId="00000080" w14:textId="77777777" w:rsidR="000E25E9" w:rsidRPr="00CE7D4F" w:rsidRDefault="00A5386A">
      <w:pPr>
        <w:rPr>
          <w:sz w:val="20"/>
          <w:szCs w:val="20"/>
        </w:rPr>
      </w:pPr>
      <w:r w:rsidRPr="00531C0F">
        <w:rPr>
          <w:rStyle w:val="FootnoteReference"/>
        </w:rPr>
        <w:footnoteRef/>
      </w:r>
      <w:r w:rsidRPr="00CE7D4F">
        <w:rPr>
          <w:sz w:val="20"/>
          <w:szCs w:val="20"/>
        </w:rPr>
        <w:t xml:space="preserve"> Carter “We Must Farm to Enable Us to Live,” 341-344. </w:t>
      </w:r>
    </w:p>
  </w:footnote>
  <w:footnote w:id="42">
    <w:p w14:paraId="00000081" w14:textId="3B0452C0" w:rsidR="000E25E9" w:rsidRPr="00CE7D4F" w:rsidRDefault="00A5386A">
      <w:pPr>
        <w:rPr>
          <w:sz w:val="20"/>
          <w:szCs w:val="20"/>
        </w:rPr>
      </w:pPr>
      <w:r w:rsidRPr="00531C0F">
        <w:rPr>
          <w:rStyle w:val="FootnoteReference"/>
        </w:rPr>
        <w:footnoteRef/>
      </w:r>
      <w:r w:rsidRPr="00CE7D4F">
        <w:rPr>
          <w:sz w:val="20"/>
          <w:szCs w:val="20"/>
        </w:rPr>
        <w:t xml:space="preserve"> </w:t>
      </w:r>
      <w:r w:rsidR="00CE7D4F" w:rsidRPr="00CE7D4F">
        <w:rPr>
          <w:sz w:val="20"/>
          <w:szCs w:val="20"/>
        </w:rPr>
        <w:t>Morin</w:t>
      </w:r>
      <w:r w:rsidRPr="00CE7D4F">
        <w:rPr>
          <w:sz w:val="20"/>
          <w:szCs w:val="20"/>
        </w:rPr>
        <w:t>, "Perceptions of Implementation,” 128.</w:t>
      </w:r>
    </w:p>
  </w:footnote>
  <w:footnote w:id="43">
    <w:p w14:paraId="3B578117" w14:textId="77777777" w:rsidR="002D6F4F" w:rsidRDefault="002D6F4F" w:rsidP="002D6F4F">
      <w:pPr>
        <w:rPr>
          <w:sz w:val="20"/>
          <w:szCs w:val="20"/>
        </w:rPr>
      </w:pPr>
      <w:r w:rsidRPr="00531C0F">
        <w:rPr>
          <w:rStyle w:val="FootnoteReference"/>
        </w:rPr>
        <w:footnoteRef/>
      </w:r>
      <w:r w:rsidRPr="00CE7D4F">
        <w:rPr>
          <w:sz w:val="20"/>
          <w:szCs w:val="20"/>
        </w:rPr>
        <w:t xml:space="preserve"> Carter “We Must Farm to Enable Us to Live,” 341-344.</w:t>
      </w:r>
      <w:r>
        <w:rPr>
          <w:sz w:val="20"/>
          <w:szCs w:val="20"/>
        </w:rPr>
        <w:t xml:space="preserve"> </w:t>
      </w:r>
    </w:p>
  </w:footnote>
  <w:footnote w:id="44">
    <w:p w14:paraId="00000083" w14:textId="59CC5E72" w:rsidR="000E25E9" w:rsidRPr="00CE7D4F" w:rsidRDefault="00A5386A">
      <w:pPr>
        <w:rPr>
          <w:sz w:val="20"/>
          <w:szCs w:val="20"/>
        </w:rPr>
      </w:pPr>
      <w:r w:rsidRPr="00531C0F">
        <w:rPr>
          <w:rStyle w:val="FootnoteReference"/>
        </w:rPr>
        <w:footnoteRef/>
      </w:r>
      <w:r w:rsidRPr="00CE7D4F">
        <w:rPr>
          <w:sz w:val="20"/>
          <w:szCs w:val="20"/>
        </w:rPr>
        <w:t xml:space="preserve"> Library Archives Canada (LAC) Record Group 10 (RG 10) Records of the Department of Indian Affairs (DIA), v. 3613, f. 4013, M. G. Dickieson to E.A. Meredith, 17 </w:t>
      </w:r>
      <w:r w:rsidR="00CE7D4F" w:rsidRPr="00CE7D4F">
        <w:rPr>
          <w:sz w:val="20"/>
          <w:szCs w:val="20"/>
        </w:rPr>
        <w:t>Nov.</w:t>
      </w:r>
      <w:r w:rsidRPr="00CE7D4F">
        <w:rPr>
          <w:sz w:val="20"/>
          <w:szCs w:val="20"/>
        </w:rPr>
        <w:t xml:space="preserve"> 1874.</w:t>
      </w:r>
    </w:p>
  </w:footnote>
  <w:footnote w:id="45">
    <w:p w14:paraId="00000084" w14:textId="77777777" w:rsidR="000E25E9" w:rsidRPr="00CE7D4F" w:rsidRDefault="00A5386A">
      <w:pPr>
        <w:rPr>
          <w:sz w:val="20"/>
          <w:szCs w:val="20"/>
        </w:rPr>
      </w:pPr>
      <w:r w:rsidRPr="00531C0F">
        <w:rPr>
          <w:rStyle w:val="FootnoteReference"/>
        </w:rPr>
        <w:footnoteRef/>
      </w:r>
      <w:r w:rsidRPr="00CE7D4F">
        <w:rPr>
          <w:sz w:val="20"/>
          <w:szCs w:val="20"/>
        </w:rPr>
        <w:t xml:space="preserve"> Daschuk, </w:t>
      </w:r>
      <w:r w:rsidRPr="00CE7D4F">
        <w:rPr>
          <w:i/>
          <w:sz w:val="20"/>
          <w:szCs w:val="20"/>
        </w:rPr>
        <w:t xml:space="preserve">Clearing the Plains, </w:t>
      </w:r>
      <w:r w:rsidRPr="00CE7D4F">
        <w:rPr>
          <w:sz w:val="20"/>
          <w:szCs w:val="20"/>
        </w:rPr>
        <w:t>101.</w:t>
      </w:r>
    </w:p>
  </w:footnote>
  <w:footnote w:id="46">
    <w:p w14:paraId="3E966862" w14:textId="77777777" w:rsidR="002D6F4F" w:rsidRPr="00CE7D4F" w:rsidRDefault="002D6F4F" w:rsidP="002D6F4F">
      <w:pPr>
        <w:rPr>
          <w:sz w:val="20"/>
          <w:szCs w:val="20"/>
        </w:rPr>
      </w:pPr>
      <w:r w:rsidRPr="00531C0F">
        <w:rPr>
          <w:rStyle w:val="FootnoteReference"/>
        </w:rPr>
        <w:footnoteRef/>
      </w:r>
      <w:r w:rsidRPr="00CE7D4F">
        <w:rPr>
          <w:sz w:val="20"/>
          <w:szCs w:val="20"/>
        </w:rPr>
        <w:t xml:space="preserve"> “[W.J.] Christie and [M.G.] Dickieson,” Annual Report, xxiii</w:t>
      </w:r>
      <w:r>
        <w:rPr>
          <w:sz w:val="20"/>
          <w:szCs w:val="20"/>
        </w:rPr>
        <w:t>-</w:t>
      </w:r>
      <w:r w:rsidRPr="00CE7D4F">
        <w:rPr>
          <w:sz w:val="20"/>
          <w:szCs w:val="20"/>
        </w:rPr>
        <w:t>xxiv</w:t>
      </w:r>
      <w:r>
        <w:rPr>
          <w:sz w:val="20"/>
          <w:szCs w:val="20"/>
        </w:rPr>
        <w:t>.</w:t>
      </w:r>
    </w:p>
  </w:footnote>
  <w:footnote w:id="47">
    <w:p w14:paraId="3EF6BBFB" w14:textId="77777777" w:rsidR="00CE7D4F" w:rsidRDefault="00CE7D4F">
      <w:pPr>
        <w:rPr>
          <w:sz w:val="20"/>
          <w:szCs w:val="20"/>
        </w:rPr>
      </w:pPr>
      <w:r w:rsidRPr="00531C0F">
        <w:rPr>
          <w:rStyle w:val="FootnoteReference"/>
        </w:rPr>
        <w:footnoteRef/>
      </w:r>
      <w:r w:rsidRPr="00CE7D4F">
        <w:rPr>
          <w:sz w:val="20"/>
          <w:szCs w:val="20"/>
        </w:rPr>
        <w:t xml:space="preserve"> Beal, “An Indian Chief,” 129; “[W.J.] Christie and [M.G.] Dickieson,” Annual Report, xxv. </w:t>
      </w:r>
    </w:p>
  </w:footnote>
  <w:footnote w:id="48">
    <w:p w14:paraId="00000087" w14:textId="77777777" w:rsidR="000E25E9" w:rsidRPr="00CE7D4F" w:rsidRDefault="00A5386A">
      <w:pPr>
        <w:rPr>
          <w:sz w:val="20"/>
          <w:szCs w:val="20"/>
        </w:rPr>
      </w:pPr>
      <w:r w:rsidRPr="00531C0F">
        <w:rPr>
          <w:rStyle w:val="FootnoteReference"/>
        </w:rPr>
        <w:footnoteRef/>
      </w:r>
      <w:r w:rsidRPr="00CE7D4F">
        <w:rPr>
          <w:sz w:val="20"/>
          <w:szCs w:val="20"/>
        </w:rPr>
        <w:t xml:space="preserve"> “[W.J.] Christie and [M.G.] Dickieson,” Annual Report of the Department of the Interior, xxvi. </w:t>
      </w:r>
    </w:p>
  </w:footnote>
  <w:footnote w:id="49">
    <w:p w14:paraId="00000088" w14:textId="13968AFF" w:rsidR="000E25E9" w:rsidRPr="00CE7D4F" w:rsidRDefault="00A5386A">
      <w:pPr>
        <w:rPr>
          <w:sz w:val="20"/>
          <w:szCs w:val="20"/>
        </w:rPr>
      </w:pPr>
      <w:r w:rsidRPr="00531C0F">
        <w:rPr>
          <w:rStyle w:val="FootnoteReference"/>
        </w:rPr>
        <w:footnoteRef/>
      </w:r>
      <w:r w:rsidRPr="00CE7D4F">
        <w:rPr>
          <w:sz w:val="20"/>
          <w:szCs w:val="20"/>
        </w:rPr>
        <w:t xml:space="preserve"> LAC, RG 10, v. 3642, f. 7581, Report on his work in Treaty Four of Agent Angus McKay to the Superintendent General of Indian Affairs, 1 </w:t>
      </w:r>
      <w:r w:rsidR="00CE7D4F" w:rsidRPr="00CE7D4F">
        <w:rPr>
          <w:sz w:val="20"/>
          <w:szCs w:val="20"/>
        </w:rPr>
        <w:t>Feb.</w:t>
      </w:r>
      <w:r w:rsidRPr="00CE7D4F">
        <w:rPr>
          <w:sz w:val="20"/>
          <w:szCs w:val="20"/>
        </w:rPr>
        <w:t xml:space="preserve"> 1877 (on his work in 1876</w:t>
      </w:r>
      <w:r w:rsidR="00CE7D4F" w:rsidRPr="00CE7D4F">
        <w:rPr>
          <w:sz w:val="20"/>
          <w:szCs w:val="20"/>
        </w:rPr>
        <w:t>). (</w:t>
      </w:r>
      <w:r w:rsidRPr="00CE7D4F">
        <w:rPr>
          <w:sz w:val="20"/>
          <w:szCs w:val="20"/>
        </w:rPr>
        <w:t xml:space="preserve">Typescript, edited by S. Carter. Includes two tables of oxen and implements distributed by McKay in his original hand), 6; Sarah Carter, “McKAY, ANGUS,” in </w:t>
      </w:r>
      <w:r w:rsidRPr="00CE7D4F">
        <w:rPr>
          <w:i/>
          <w:sz w:val="20"/>
          <w:szCs w:val="20"/>
        </w:rPr>
        <w:t>Dictionary of Canadian Biography</w:t>
      </w:r>
      <w:r w:rsidRPr="00CE7D4F">
        <w:rPr>
          <w:sz w:val="20"/>
          <w:szCs w:val="20"/>
        </w:rPr>
        <w:t xml:space="preserve"> 12 (University of Toronto/Université Laval, 2003).</w:t>
      </w:r>
    </w:p>
  </w:footnote>
  <w:footnote w:id="50">
    <w:p w14:paraId="0000008D" w14:textId="77777777" w:rsidR="000E25E9" w:rsidRPr="00CE7D4F" w:rsidRDefault="00A5386A">
      <w:pPr>
        <w:rPr>
          <w:sz w:val="20"/>
          <w:szCs w:val="20"/>
        </w:rPr>
      </w:pPr>
      <w:r w:rsidRPr="00531C0F">
        <w:rPr>
          <w:rStyle w:val="FootnoteReference"/>
        </w:rPr>
        <w:footnoteRef/>
      </w:r>
      <w:r w:rsidRPr="00CE7D4F">
        <w:rPr>
          <w:sz w:val="20"/>
          <w:szCs w:val="20"/>
        </w:rPr>
        <w:t xml:space="preserve"> LAC, RG 10, v. 3627, f. 6131, extracts from the report of surveyor William Wagner to David Laird, Minister of the Interior, dated 1876, reporting on his work in Treaty Four in 1875. </w:t>
      </w:r>
    </w:p>
  </w:footnote>
  <w:footnote w:id="51">
    <w:p w14:paraId="38D3910C" w14:textId="77777777" w:rsidR="00424F6F" w:rsidRDefault="00424F6F" w:rsidP="00424F6F">
      <w:pPr>
        <w:rPr>
          <w:sz w:val="20"/>
          <w:szCs w:val="20"/>
        </w:rPr>
      </w:pPr>
      <w:r w:rsidRPr="00531C0F">
        <w:rPr>
          <w:rStyle w:val="FootnoteReference"/>
        </w:rPr>
        <w:footnoteRef/>
      </w:r>
      <w:r w:rsidRPr="00CE7D4F">
        <w:rPr>
          <w:sz w:val="20"/>
          <w:szCs w:val="20"/>
        </w:rPr>
        <w:t xml:space="preserve"> LAC, RG 10, v. 3627, f. 6131, extracts from the report of surveyor William Wagner.</w:t>
      </w:r>
    </w:p>
  </w:footnote>
  <w:footnote w:id="52">
    <w:p w14:paraId="0000008A" w14:textId="0785B905" w:rsidR="000E25E9" w:rsidRPr="00CE7D4F" w:rsidRDefault="00A5386A">
      <w:pPr>
        <w:rPr>
          <w:sz w:val="20"/>
          <w:szCs w:val="20"/>
        </w:rPr>
      </w:pPr>
      <w:r w:rsidRPr="00531C0F">
        <w:rPr>
          <w:rStyle w:val="FootnoteReference"/>
        </w:rPr>
        <w:footnoteRef/>
      </w:r>
      <w:r w:rsidRPr="00CE7D4F">
        <w:rPr>
          <w:sz w:val="20"/>
          <w:szCs w:val="20"/>
        </w:rPr>
        <w:t xml:space="preserve"> David Laird, Indian Superintendent to Superintendent General of Indian Affairs, 18 </w:t>
      </w:r>
      <w:r w:rsidR="00CE7D4F" w:rsidRPr="00CE7D4F">
        <w:rPr>
          <w:sz w:val="20"/>
          <w:szCs w:val="20"/>
        </w:rPr>
        <w:t>Nov.</w:t>
      </w:r>
      <w:r w:rsidRPr="00CE7D4F">
        <w:rPr>
          <w:sz w:val="20"/>
          <w:szCs w:val="20"/>
        </w:rPr>
        <w:t xml:space="preserve"> 1877, in Canada </w:t>
      </w:r>
      <w:r w:rsidRPr="00CE7D4F">
        <w:rPr>
          <w:i/>
          <w:sz w:val="20"/>
          <w:szCs w:val="20"/>
        </w:rPr>
        <w:t>Sessional Papers</w:t>
      </w:r>
      <w:r w:rsidRPr="00CE7D4F">
        <w:rPr>
          <w:sz w:val="20"/>
          <w:szCs w:val="20"/>
        </w:rPr>
        <w:t xml:space="preserve">, Annual Report of the Deputy Superintendent General of Indian Affairs (1877), 46. </w:t>
      </w:r>
    </w:p>
  </w:footnote>
  <w:footnote w:id="53">
    <w:p w14:paraId="0000008B" w14:textId="77777777" w:rsidR="000E25E9" w:rsidRPr="00CE7D4F" w:rsidRDefault="00A5386A">
      <w:pPr>
        <w:rPr>
          <w:sz w:val="20"/>
          <w:szCs w:val="20"/>
        </w:rPr>
      </w:pPr>
      <w:r w:rsidRPr="00531C0F">
        <w:rPr>
          <w:rStyle w:val="FootnoteReference"/>
        </w:rPr>
        <w:footnoteRef/>
      </w:r>
      <w:r w:rsidRPr="00CE7D4F">
        <w:rPr>
          <w:sz w:val="20"/>
          <w:szCs w:val="20"/>
        </w:rPr>
        <w:t xml:space="preserve"> LAC, RG 10, v. 3642, f. 7581, Report on his work in Treaty Four of Agent Angus McKay, 1.</w:t>
      </w:r>
    </w:p>
  </w:footnote>
  <w:footnote w:id="54">
    <w:p w14:paraId="0000008E" w14:textId="77777777" w:rsidR="000E25E9" w:rsidRPr="00CE7D4F" w:rsidRDefault="00A5386A">
      <w:pPr>
        <w:rPr>
          <w:sz w:val="20"/>
          <w:szCs w:val="20"/>
        </w:rPr>
      </w:pPr>
      <w:r w:rsidRPr="00531C0F">
        <w:rPr>
          <w:rStyle w:val="FootnoteReference"/>
        </w:rPr>
        <w:footnoteRef/>
      </w:r>
      <w:r w:rsidRPr="00CE7D4F">
        <w:rPr>
          <w:sz w:val="20"/>
          <w:szCs w:val="20"/>
        </w:rPr>
        <w:t xml:space="preserve"> LAC, RG 10, v. 3642, f. 7581, Report on his work in Treaty Four of Agent Angus McKay, 3. </w:t>
      </w:r>
    </w:p>
  </w:footnote>
  <w:footnote w:id="55">
    <w:p w14:paraId="0000008F" w14:textId="77777777" w:rsidR="000E25E9" w:rsidRDefault="00A5386A">
      <w:pPr>
        <w:rPr>
          <w:sz w:val="20"/>
          <w:szCs w:val="20"/>
        </w:rPr>
      </w:pPr>
      <w:r w:rsidRPr="00531C0F">
        <w:rPr>
          <w:rStyle w:val="FootnoteReference"/>
        </w:rPr>
        <w:footnoteRef/>
      </w:r>
      <w:r w:rsidRPr="00CE7D4F">
        <w:rPr>
          <w:sz w:val="20"/>
          <w:szCs w:val="20"/>
        </w:rPr>
        <w:t xml:space="preserve"> LAC, RG 10, v. 3642, f. 7581, Report on his work in Treaty Four of Agent Angus McKay, 5.</w:t>
      </w:r>
    </w:p>
  </w:footnote>
  <w:footnote w:id="56">
    <w:p w14:paraId="42E28A7C" w14:textId="13810133" w:rsidR="00424F6F" w:rsidRDefault="00424F6F" w:rsidP="00424F6F">
      <w:pPr>
        <w:rPr>
          <w:sz w:val="20"/>
          <w:szCs w:val="20"/>
        </w:rPr>
      </w:pPr>
      <w:r w:rsidRPr="00531C0F">
        <w:rPr>
          <w:rStyle w:val="FootnoteReference"/>
        </w:rPr>
        <w:footnoteRef/>
      </w:r>
      <w:r w:rsidRPr="00CE7D4F">
        <w:rPr>
          <w:sz w:val="20"/>
          <w:szCs w:val="20"/>
        </w:rPr>
        <w:t xml:space="preserve"> LAC, RG 10, v. 3642, f. 7581, Report on his work in Treaty Four of Agent Angus McKay, </w:t>
      </w:r>
      <w:r>
        <w:rPr>
          <w:sz w:val="20"/>
          <w:szCs w:val="20"/>
        </w:rPr>
        <w:t>6</w:t>
      </w:r>
      <w:r w:rsidRPr="00CE7D4F">
        <w:rPr>
          <w:sz w:val="20"/>
          <w:szCs w:val="20"/>
        </w:rPr>
        <w:t>.</w:t>
      </w:r>
    </w:p>
  </w:footnote>
  <w:footnote w:id="57">
    <w:p w14:paraId="500FD3F4" w14:textId="77777777" w:rsidR="00424F6F" w:rsidRDefault="00424F6F" w:rsidP="00424F6F">
      <w:pPr>
        <w:rPr>
          <w:sz w:val="20"/>
          <w:szCs w:val="20"/>
        </w:rPr>
      </w:pPr>
      <w:r w:rsidRPr="00531C0F">
        <w:rPr>
          <w:rStyle w:val="FootnoteReference"/>
        </w:rPr>
        <w:footnoteRef/>
      </w:r>
      <w:r w:rsidRPr="00CE7D4F">
        <w:rPr>
          <w:sz w:val="20"/>
          <w:szCs w:val="20"/>
        </w:rPr>
        <w:t xml:space="preserve"> LAC, RG 10, v. 3642, f. 7581, Report on his work in Treaty Four of Agent Angus McKay, </w:t>
      </w:r>
      <w:r>
        <w:rPr>
          <w:sz w:val="20"/>
          <w:szCs w:val="20"/>
        </w:rPr>
        <w:t>6</w:t>
      </w:r>
      <w:r w:rsidRPr="00CE7D4F">
        <w:rPr>
          <w:sz w:val="20"/>
          <w:szCs w:val="20"/>
        </w:rPr>
        <w:t>.</w:t>
      </w:r>
    </w:p>
  </w:footnote>
  <w:footnote w:id="58">
    <w:p w14:paraId="7198B000" w14:textId="77777777" w:rsidR="00CE7D4F" w:rsidRPr="00CE7D4F" w:rsidRDefault="00CE7D4F">
      <w:pPr>
        <w:rPr>
          <w:sz w:val="20"/>
          <w:szCs w:val="20"/>
        </w:rPr>
      </w:pPr>
      <w:r w:rsidRPr="00531C0F">
        <w:rPr>
          <w:rStyle w:val="FootnoteReference"/>
        </w:rPr>
        <w:footnoteRef/>
      </w:r>
      <w:r w:rsidRPr="00CE7D4F">
        <w:rPr>
          <w:sz w:val="20"/>
          <w:szCs w:val="20"/>
        </w:rPr>
        <w:t xml:space="preserve"> LAC, RG 10, v. 3642, f. 7581, Report on his work in Treaty Four of Agent Angus McKay,6</w:t>
      </w:r>
    </w:p>
  </w:footnote>
  <w:footnote w:id="59">
    <w:p w14:paraId="09A4D9F4" w14:textId="77777777" w:rsidR="00CE7D4F" w:rsidRPr="00CE7D4F" w:rsidRDefault="00CE7D4F">
      <w:pPr>
        <w:rPr>
          <w:sz w:val="20"/>
          <w:szCs w:val="20"/>
        </w:rPr>
      </w:pPr>
      <w:r w:rsidRPr="00531C0F">
        <w:rPr>
          <w:rStyle w:val="FootnoteReference"/>
        </w:rPr>
        <w:footnoteRef/>
      </w:r>
      <w:r w:rsidRPr="00CE7D4F">
        <w:rPr>
          <w:sz w:val="20"/>
          <w:szCs w:val="20"/>
        </w:rPr>
        <w:t xml:space="preserve"> Laird, Indian Superintendent to Superintendent General of Indian Affairs, Annual Report, 46.</w:t>
      </w:r>
    </w:p>
  </w:footnote>
  <w:footnote w:id="60">
    <w:p w14:paraId="00000091" w14:textId="77777777" w:rsidR="000E25E9" w:rsidRPr="00CE7D4F" w:rsidRDefault="00A5386A">
      <w:pPr>
        <w:rPr>
          <w:sz w:val="20"/>
          <w:szCs w:val="20"/>
        </w:rPr>
      </w:pPr>
      <w:r w:rsidRPr="00531C0F">
        <w:rPr>
          <w:rStyle w:val="FootnoteReference"/>
        </w:rPr>
        <w:footnoteRef/>
      </w:r>
      <w:r w:rsidRPr="00CE7D4F">
        <w:rPr>
          <w:sz w:val="20"/>
          <w:szCs w:val="20"/>
        </w:rPr>
        <w:t xml:space="preserve"> David Laird, Indian Superintendent and Lieutenant Governor of the North-West Territories and Indian Agent Allan MacDonald to Superintendent General of Indian Affairs, “Extract of a Letter dated 11 Nov.,1878,” 64-65. </w:t>
      </w:r>
    </w:p>
  </w:footnote>
  <w:footnote w:id="61">
    <w:p w14:paraId="00000092" w14:textId="77777777" w:rsidR="000E25E9" w:rsidRPr="00CE7D4F" w:rsidRDefault="00A5386A">
      <w:pPr>
        <w:rPr>
          <w:sz w:val="20"/>
          <w:szCs w:val="20"/>
        </w:rPr>
      </w:pPr>
      <w:r w:rsidRPr="00531C0F">
        <w:rPr>
          <w:rStyle w:val="FootnoteReference"/>
        </w:rPr>
        <w:footnoteRef/>
      </w:r>
      <w:r w:rsidRPr="00CE7D4F">
        <w:rPr>
          <w:sz w:val="20"/>
          <w:szCs w:val="20"/>
        </w:rPr>
        <w:t xml:space="preserve"> Carter “We Must Farm to Enable Us to Live,” 344. </w:t>
      </w:r>
    </w:p>
  </w:footnote>
  <w:footnote w:id="62">
    <w:p w14:paraId="00000093" w14:textId="2CDE259B" w:rsidR="000E25E9" w:rsidRPr="00CE7D4F" w:rsidRDefault="00A5386A">
      <w:pPr>
        <w:rPr>
          <w:sz w:val="20"/>
          <w:szCs w:val="20"/>
        </w:rPr>
      </w:pPr>
      <w:r w:rsidRPr="00531C0F">
        <w:rPr>
          <w:rStyle w:val="FootnoteReference"/>
        </w:rPr>
        <w:footnoteRef/>
      </w:r>
      <w:r w:rsidRPr="00CE7D4F">
        <w:rPr>
          <w:sz w:val="20"/>
          <w:szCs w:val="20"/>
        </w:rPr>
        <w:t xml:space="preserve"> Laird and Allen, “Extract of a Letter dated 11 </w:t>
      </w:r>
      <w:proofErr w:type="gramStart"/>
      <w:r w:rsidR="00BA6375" w:rsidRPr="00CE7D4F">
        <w:rPr>
          <w:sz w:val="20"/>
          <w:szCs w:val="20"/>
        </w:rPr>
        <w:t>Nov.</w:t>
      </w:r>
      <w:r w:rsidR="00BA6375">
        <w:rPr>
          <w:sz w:val="20"/>
          <w:szCs w:val="20"/>
        </w:rPr>
        <w:t>,</w:t>
      </w:r>
      <w:proofErr w:type="gramEnd"/>
      <w:r w:rsidR="00BA6375">
        <w:rPr>
          <w:sz w:val="20"/>
          <w:szCs w:val="20"/>
        </w:rPr>
        <w:t xml:space="preserve"> </w:t>
      </w:r>
      <w:r w:rsidRPr="00CE7D4F">
        <w:rPr>
          <w:sz w:val="20"/>
          <w:szCs w:val="20"/>
        </w:rPr>
        <w:t xml:space="preserve">1878,” 64-66. </w:t>
      </w:r>
    </w:p>
  </w:footnote>
  <w:footnote w:id="63">
    <w:p w14:paraId="00000094" w14:textId="30B4204F" w:rsidR="000E25E9" w:rsidRDefault="00A5386A">
      <w:pPr>
        <w:rPr>
          <w:sz w:val="20"/>
          <w:szCs w:val="20"/>
        </w:rPr>
      </w:pPr>
      <w:r w:rsidRPr="00531C0F">
        <w:rPr>
          <w:rStyle w:val="FootnoteReference"/>
        </w:rPr>
        <w:footnoteRef/>
      </w:r>
      <w:r w:rsidRPr="00CE7D4F">
        <w:rPr>
          <w:sz w:val="20"/>
          <w:szCs w:val="20"/>
        </w:rPr>
        <w:t xml:space="preserve"> LAC, RG 10, v. 3665, f. 10,094 Interpreter (F.L. Hunt?) to Joseph Cauchon, Lieut- Governor, Manitoba, 1 </w:t>
      </w:r>
      <w:r w:rsidR="00CE7D4F" w:rsidRPr="00CE7D4F">
        <w:rPr>
          <w:sz w:val="20"/>
          <w:szCs w:val="20"/>
        </w:rPr>
        <w:t>June</w:t>
      </w:r>
      <w:r w:rsidRPr="00CE7D4F">
        <w:rPr>
          <w:sz w:val="20"/>
          <w:szCs w:val="20"/>
        </w:rPr>
        <w:t xml:space="preserve"> 1878; and David Laird, Lieut-Governor of the North-West Territories to the Minister of the Interior, 11 </w:t>
      </w:r>
      <w:r w:rsidR="00CE7D4F" w:rsidRPr="00CE7D4F">
        <w:rPr>
          <w:sz w:val="20"/>
          <w:szCs w:val="20"/>
        </w:rPr>
        <w:t>Nov.</w:t>
      </w:r>
      <w:r w:rsidRPr="00CE7D4F">
        <w:rPr>
          <w:sz w:val="20"/>
          <w:szCs w:val="20"/>
        </w:rPr>
        <w:t xml:space="preserve"> 1878, 1. </w:t>
      </w:r>
    </w:p>
  </w:footnote>
  <w:footnote w:id="64">
    <w:p w14:paraId="00000095" w14:textId="77777777" w:rsidR="000E25E9" w:rsidRPr="00CE7D4F" w:rsidRDefault="00A5386A">
      <w:pPr>
        <w:rPr>
          <w:sz w:val="20"/>
          <w:szCs w:val="20"/>
        </w:rPr>
      </w:pPr>
      <w:r w:rsidRPr="00531C0F">
        <w:rPr>
          <w:rStyle w:val="FootnoteReference"/>
        </w:rPr>
        <w:footnoteRef/>
      </w:r>
      <w:r w:rsidRPr="00CE7D4F">
        <w:rPr>
          <w:sz w:val="20"/>
          <w:szCs w:val="20"/>
        </w:rPr>
        <w:t xml:space="preserve"> LAC, RG 10, v. 3665, f. 10,094 Interpreter (F.L. Hunt?) to Joseph Cauchon, 1; Carter “We Must Farm to Enable Us to Live,” 343.</w:t>
      </w:r>
    </w:p>
  </w:footnote>
  <w:footnote w:id="65">
    <w:p w14:paraId="00000096" w14:textId="77777777" w:rsidR="000E25E9" w:rsidRPr="00CE7D4F" w:rsidRDefault="00A5386A">
      <w:pPr>
        <w:rPr>
          <w:sz w:val="20"/>
          <w:szCs w:val="20"/>
        </w:rPr>
      </w:pPr>
      <w:r w:rsidRPr="00531C0F">
        <w:rPr>
          <w:rStyle w:val="FootnoteReference"/>
        </w:rPr>
        <w:footnoteRef/>
      </w:r>
      <w:r w:rsidRPr="00CE7D4F">
        <w:rPr>
          <w:sz w:val="20"/>
          <w:szCs w:val="20"/>
        </w:rPr>
        <w:t xml:space="preserve"> LAC, RG 10, v. 3665, f. 10,094 Interpreter (F.L. Hunt?) to Joseph Cauchon, 1.</w:t>
      </w:r>
    </w:p>
  </w:footnote>
  <w:footnote w:id="66">
    <w:p w14:paraId="00000097" w14:textId="373804F1" w:rsidR="000E25E9" w:rsidRPr="00CE7D4F" w:rsidRDefault="00A5386A">
      <w:pPr>
        <w:rPr>
          <w:sz w:val="20"/>
          <w:szCs w:val="20"/>
        </w:rPr>
      </w:pPr>
      <w:r w:rsidRPr="00531C0F">
        <w:rPr>
          <w:rStyle w:val="FootnoteReference"/>
        </w:rPr>
        <w:footnoteRef/>
      </w:r>
      <w:r w:rsidRPr="00CE7D4F">
        <w:rPr>
          <w:sz w:val="20"/>
          <w:szCs w:val="20"/>
        </w:rPr>
        <w:t xml:space="preserve"> David Laird, Indian Superintendent and Lieutenant Governor of the North-West Territories, to the Superintendent General of Indian Affairs Statement of Implements distributed to Indians of Treaty No. 4 to 30 </w:t>
      </w:r>
      <w:r w:rsidR="00CE7D4F" w:rsidRPr="00CE7D4F">
        <w:rPr>
          <w:sz w:val="20"/>
          <w:szCs w:val="20"/>
        </w:rPr>
        <w:t>June</w:t>
      </w:r>
      <w:r w:rsidRPr="00CE7D4F">
        <w:rPr>
          <w:sz w:val="20"/>
          <w:szCs w:val="20"/>
        </w:rPr>
        <w:t xml:space="preserve"> 1878, p. 60; Provisions and Seed Distributed to Indians, p. 61. </w:t>
      </w:r>
    </w:p>
  </w:footnote>
  <w:footnote w:id="67">
    <w:p w14:paraId="44AC9887" w14:textId="51A26DB6" w:rsidR="00B13F12" w:rsidRPr="00AB2E65" w:rsidRDefault="00B13F12" w:rsidP="00AB2E65">
      <w:r w:rsidRPr="00531C0F">
        <w:rPr>
          <w:rStyle w:val="FootnoteReference"/>
        </w:rPr>
        <w:footnoteRef/>
      </w:r>
      <w:r w:rsidRPr="00AB2E65">
        <w:rPr>
          <w:sz w:val="20"/>
          <w:szCs w:val="20"/>
        </w:rPr>
        <w:t xml:space="preserve"> LAC, RG 10, v. 3665, f. 10,094 Interpreter (F.L. Hunt?) to Joseph Cauchon, 2-13</w:t>
      </w:r>
      <w:r w:rsidR="00AB2E65" w:rsidRPr="00AB2E65">
        <w:rPr>
          <w:sz w:val="20"/>
          <w:szCs w:val="20"/>
        </w:rPr>
        <w:t>;</w:t>
      </w:r>
      <w:r w:rsidR="00AB2E65">
        <w:rPr>
          <w:sz w:val="20"/>
          <w:szCs w:val="20"/>
        </w:rPr>
        <w:t xml:space="preserve"> Gordon Goldsborough, “Memorable Manitobans: Frank </w:t>
      </w:r>
      <w:proofErr w:type="spellStart"/>
      <w:r w:rsidR="00AB2E65">
        <w:rPr>
          <w:sz w:val="20"/>
          <w:szCs w:val="20"/>
        </w:rPr>
        <w:t>Larned</w:t>
      </w:r>
      <w:proofErr w:type="spellEnd"/>
      <w:r w:rsidR="00AB2E65">
        <w:rPr>
          <w:sz w:val="20"/>
          <w:szCs w:val="20"/>
        </w:rPr>
        <w:t xml:space="preserve"> Hunt (1825-1903), 2008.</w:t>
      </w:r>
    </w:p>
  </w:footnote>
  <w:footnote w:id="68">
    <w:p w14:paraId="00000098" w14:textId="77777777" w:rsidR="000E25E9" w:rsidRPr="00CE7D4F" w:rsidRDefault="00A5386A">
      <w:pPr>
        <w:rPr>
          <w:sz w:val="20"/>
          <w:szCs w:val="20"/>
        </w:rPr>
      </w:pPr>
      <w:r w:rsidRPr="00531C0F">
        <w:rPr>
          <w:rStyle w:val="FootnoteReference"/>
        </w:rPr>
        <w:footnoteRef/>
      </w:r>
      <w:r w:rsidRPr="00CE7D4F">
        <w:rPr>
          <w:sz w:val="20"/>
          <w:szCs w:val="20"/>
        </w:rPr>
        <w:t xml:space="preserve"> LAC, RG 10, v. 3665, f. 10,094 Interpreter (F.L. Hunt?) to Joseph Cauchon, 2-13.</w:t>
      </w:r>
    </w:p>
  </w:footnote>
  <w:footnote w:id="69">
    <w:p w14:paraId="00000099" w14:textId="77777777" w:rsidR="000E25E9" w:rsidRDefault="00A5386A">
      <w:pPr>
        <w:rPr>
          <w:sz w:val="20"/>
          <w:szCs w:val="20"/>
        </w:rPr>
      </w:pPr>
      <w:r w:rsidRPr="00531C0F">
        <w:rPr>
          <w:rStyle w:val="FootnoteReference"/>
        </w:rPr>
        <w:footnoteRef/>
      </w:r>
      <w:r w:rsidRPr="00CE7D4F">
        <w:rPr>
          <w:sz w:val="20"/>
          <w:szCs w:val="20"/>
        </w:rPr>
        <w:t xml:space="preserve"> LAC, RG 10, v. 3665, f. 10,094 Interpreter (F.L. Hunt?) to Joseph Cauchon, 4.</w:t>
      </w:r>
    </w:p>
  </w:footnote>
  <w:footnote w:id="70">
    <w:p w14:paraId="0000009F" w14:textId="724AEF53" w:rsidR="000E25E9" w:rsidRPr="00CE7D4F" w:rsidRDefault="00A5386A">
      <w:pPr>
        <w:rPr>
          <w:sz w:val="20"/>
          <w:szCs w:val="20"/>
        </w:rPr>
      </w:pPr>
      <w:r w:rsidRPr="00531C0F">
        <w:rPr>
          <w:rStyle w:val="FootnoteReference"/>
        </w:rPr>
        <w:footnoteRef/>
      </w:r>
      <w:r w:rsidRPr="00CE7D4F">
        <w:rPr>
          <w:sz w:val="20"/>
          <w:szCs w:val="20"/>
        </w:rPr>
        <w:t xml:space="preserve"> Indian Agent A. MacDonald to Acting Indian Superintendent 31 </w:t>
      </w:r>
      <w:r w:rsidR="00CE7D4F" w:rsidRPr="00CE7D4F">
        <w:rPr>
          <w:sz w:val="20"/>
          <w:szCs w:val="20"/>
        </w:rPr>
        <w:t>July</w:t>
      </w:r>
      <w:r w:rsidRPr="00CE7D4F">
        <w:rPr>
          <w:sz w:val="20"/>
          <w:szCs w:val="20"/>
        </w:rPr>
        <w:t xml:space="preserve"> 1879; and Agent MacDonald to the Superintendent General of Indian Affairs, 2 Nov.,1879, in Canada </w:t>
      </w:r>
      <w:r w:rsidRPr="00CE7D4F">
        <w:rPr>
          <w:i/>
          <w:sz w:val="20"/>
          <w:szCs w:val="20"/>
        </w:rPr>
        <w:t xml:space="preserve">Sessional Papers </w:t>
      </w:r>
      <w:r w:rsidRPr="00CE7D4F">
        <w:rPr>
          <w:sz w:val="20"/>
          <w:szCs w:val="20"/>
        </w:rPr>
        <w:t xml:space="preserve">Report of the Deputy Superintendent-General of Indian Affairs (1879), 109. </w:t>
      </w:r>
    </w:p>
  </w:footnote>
  <w:footnote w:id="71">
    <w:p w14:paraId="0000009E" w14:textId="77777777" w:rsidR="000E25E9" w:rsidRPr="00CE7D4F" w:rsidRDefault="00A5386A">
      <w:pPr>
        <w:rPr>
          <w:sz w:val="20"/>
          <w:szCs w:val="20"/>
        </w:rPr>
      </w:pPr>
      <w:r w:rsidRPr="00531C0F">
        <w:rPr>
          <w:rStyle w:val="FootnoteReference"/>
        </w:rPr>
        <w:footnoteRef/>
      </w:r>
      <w:r w:rsidRPr="00CE7D4F">
        <w:rPr>
          <w:sz w:val="20"/>
          <w:szCs w:val="20"/>
        </w:rPr>
        <w:t xml:space="preserve"> Daschuk, </w:t>
      </w:r>
      <w:r w:rsidRPr="00CE7D4F">
        <w:rPr>
          <w:i/>
          <w:sz w:val="20"/>
          <w:szCs w:val="20"/>
        </w:rPr>
        <w:t xml:space="preserve">Clearing the Plains, </w:t>
      </w:r>
      <w:r w:rsidRPr="00CE7D4F">
        <w:rPr>
          <w:sz w:val="20"/>
          <w:szCs w:val="20"/>
        </w:rPr>
        <w:t>101.</w:t>
      </w:r>
    </w:p>
  </w:footnote>
  <w:footnote w:id="72">
    <w:p w14:paraId="0000009D" w14:textId="77777777" w:rsidR="000E25E9" w:rsidRPr="00CE7D4F" w:rsidRDefault="00A5386A">
      <w:pPr>
        <w:rPr>
          <w:sz w:val="20"/>
          <w:szCs w:val="20"/>
        </w:rPr>
      </w:pPr>
      <w:r w:rsidRPr="00531C0F">
        <w:rPr>
          <w:rStyle w:val="FootnoteReference"/>
        </w:rPr>
        <w:footnoteRef/>
      </w:r>
      <w:r w:rsidRPr="00CE7D4F">
        <w:rPr>
          <w:sz w:val="20"/>
          <w:szCs w:val="20"/>
        </w:rPr>
        <w:t xml:space="preserve"> MacDonald to the Superintendent General of Indian Affairs, 1879 Report, 109.</w:t>
      </w:r>
    </w:p>
  </w:footnote>
  <w:footnote w:id="73">
    <w:p w14:paraId="000000A0" w14:textId="77777777" w:rsidR="000E25E9" w:rsidRPr="00CE7D4F" w:rsidRDefault="00A5386A">
      <w:pPr>
        <w:rPr>
          <w:sz w:val="20"/>
          <w:szCs w:val="20"/>
        </w:rPr>
      </w:pPr>
      <w:r w:rsidRPr="00531C0F">
        <w:rPr>
          <w:rStyle w:val="FootnoteReference"/>
        </w:rPr>
        <w:footnoteRef/>
      </w:r>
      <w:r w:rsidRPr="00CE7D4F">
        <w:rPr>
          <w:sz w:val="20"/>
          <w:szCs w:val="20"/>
        </w:rPr>
        <w:t xml:space="preserve"> Carter “We Must Farm to Enable Us to Live,” 344. </w:t>
      </w:r>
    </w:p>
  </w:footnote>
  <w:footnote w:id="74">
    <w:p w14:paraId="000000A1" w14:textId="77777777" w:rsidR="000E25E9" w:rsidRPr="00CE7D4F" w:rsidRDefault="00A5386A">
      <w:pPr>
        <w:rPr>
          <w:sz w:val="20"/>
          <w:szCs w:val="20"/>
        </w:rPr>
      </w:pPr>
      <w:r w:rsidRPr="00531C0F">
        <w:rPr>
          <w:rStyle w:val="FootnoteReference"/>
        </w:rPr>
        <w:footnoteRef/>
      </w:r>
      <w:r w:rsidRPr="00CE7D4F">
        <w:rPr>
          <w:sz w:val="20"/>
          <w:szCs w:val="20"/>
        </w:rPr>
        <w:t xml:space="preserve"> MacDonald to the Superintendent General of Indian Affairs, 1879 Report, 109-10.</w:t>
      </w:r>
    </w:p>
  </w:footnote>
  <w:footnote w:id="75">
    <w:p w14:paraId="000000A2" w14:textId="77777777" w:rsidR="000E25E9" w:rsidRDefault="00A5386A">
      <w:pPr>
        <w:rPr>
          <w:sz w:val="20"/>
          <w:szCs w:val="20"/>
        </w:rPr>
      </w:pPr>
      <w:r w:rsidRPr="00531C0F">
        <w:rPr>
          <w:rStyle w:val="FootnoteReference"/>
        </w:rPr>
        <w:footnoteRef/>
      </w:r>
      <w:r w:rsidRPr="00CE7D4F">
        <w:rPr>
          <w:sz w:val="20"/>
          <w:szCs w:val="20"/>
        </w:rPr>
        <w:t xml:space="preserve"> MacDonald to Acting Indian Superintendent, 1879 Report, 107; Laird and Allen, “Extract of a Letter dated 11 Nov.,1878,” 66.</w:t>
      </w:r>
      <w:r>
        <w:rPr>
          <w:sz w:val="20"/>
          <w:szCs w:val="20"/>
        </w:rPr>
        <w:t xml:space="preserve"> </w:t>
      </w:r>
    </w:p>
  </w:footnote>
  <w:footnote w:id="76">
    <w:p w14:paraId="000000A3" w14:textId="77777777" w:rsidR="000E25E9" w:rsidRPr="00CE7D4F" w:rsidRDefault="00A5386A">
      <w:pPr>
        <w:rPr>
          <w:sz w:val="20"/>
          <w:szCs w:val="20"/>
        </w:rPr>
      </w:pPr>
      <w:r w:rsidRPr="00531C0F">
        <w:rPr>
          <w:rStyle w:val="FootnoteReference"/>
        </w:rPr>
        <w:footnoteRef/>
      </w:r>
      <w:r w:rsidRPr="00CE7D4F">
        <w:rPr>
          <w:sz w:val="20"/>
          <w:szCs w:val="20"/>
        </w:rPr>
        <w:t xml:space="preserve"> Carter “We Must Farm to Enable Us to Live,” 341.</w:t>
      </w:r>
    </w:p>
  </w:footnote>
  <w:footnote w:id="77">
    <w:p w14:paraId="39718E7A" w14:textId="2CC8B5DE" w:rsidR="00056D95" w:rsidRPr="00056D95" w:rsidRDefault="00056D95" w:rsidP="00056D95">
      <w:pPr>
        <w:rPr>
          <w:sz w:val="20"/>
          <w:szCs w:val="20"/>
          <w:lang w:val="en"/>
        </w:rPr>
      </w:pPr>
      <w:r>
        <w:rPr>
          <w:rStyle w:val="FootnoteReference"/>
        </w:rPr>
        <w:footnoteRef/>
      </w:r>
      <w:r>
        <w:t xml:space="preserve"> </w:t>
      </w:r>
      <w:r w:rsidRPr="00CE7D4F">
        <w:rPr>
          <w:sz w:val="20"/>
          <w:szCs w:val="20"/>
        </w:rPr>
        <w:t xml:space="preserve">Albers, “Expert,” </w:t>
      </w:r>
      <w:r>
        <w:rPr>
          <w:sz w:val="20"/>
          <w:szCs w:val="20"/>
        </w:rPr>
        <w:t>9.</w:t>
      </w:r>
    </w:p>
  </w:footnote>
  <w:footnote w:id="78">
    <w:p w14:paraId="09D58090" w14:textId="77777777" w:rsidR="00056D95" w:rsidRPr="00056D95" w:rsidRDefault="00056D95" w:rsidP="00056D95">
      <w:pPr>
        <w:pStyle w:val="FootnoteText"/>
      </w:pPr>
      <w:r>
        <w:rPr>
          <w:rStyle w:val="FootnoteReference"/>
        </w:rPr>
        <w:footnoteRef/>
      </w:r>
      <w:r>
        <w:t xml:space="preserve"> </w:t>
      </w:r>
      <w:r w:rsidRPr="00CE7D4F">
        <w:t>Carter “We Must Farm to Enable Us to Live,” 3</w:t>
      </w:r>
      <w:r>
        <w:t>47.</w:t>
      </w:r>
    </w:p>
  </w:footnote>
  <w:footnote w:id="79">
    <w:p w14:paraId="01817B29" w14:textId="02D4818B" w:rsidR="00056D95" w:rsidRPr="00056D95" w:rsidRDefault="00056D95" w:rsidP="00056D95">
      <w:r>
        <w:rPr>
          <w:rStyle w:val="FootnoteReference"/>
        </w:rPr>
        <w:footnoteRef/>
      </w:r>
      <w:r>
        <w:t xml:space="preserve"> </w:t>
      </w:r>
      <w:r w:rsidR="00F152CC" w:rsidRPr="00056D95">
        <w:rPr>
          <w:color w:val="000000"/>
          <w:sz w:val="20"/>
          <w:szCs w:val="20"/>
        </w:rPr>
        <w:t xml:space="preserve">Canada, </w:t>
      </w:r>
      <w:r w:rsidR="00F152CC" w:rsidRPr="00056D95">
        <w:rPr>
          <w:i/>
          <w:iCs/>
          <w:color w:val="000000"/>
          <w:sz w:val="20"/>
          <w:szCs w:val="20"/>
        </w:rPr>
        <w:t>Sessional Papers</w:t>
      </w:r>
      <w:r w:rsidR="00F152CC" w:rsidRPr="00056D95">
        <w:rPr>
          <w:color w:val="000000"/>
          <w:sz w:val="20"/>
          <w:szCs w:val="20"/>
        </w:rPr>
        <w:t xml:space="preserve">, 31 </w:t>
      </w:r>
      <w:proofErr w:type="gramStart"/>
      <w:r w:rsidR="00F152CC" w:rsidRPr="00056D95">
        <w:rPr>
          <w:color w:val="000000"/>
          <w:sz w:val="20"/>
          <w:szCs w:val="20"/>
        </w:rPr>
        <w:t>Dec.,</w:t>
      </w:r>
      <w:proofErr w:type="gramEnd"/>
      <w:r w:rsidR="00F152CC" w:rsidRPr="00056D95">
        <w:rPr>
          <w:color w:val="000000"/>
          <w:sz w:val="20"/>
          <w:szCs w:val="20"/>
        </w:rPr>
        <w:t xml:space="preserve"> 1881. Edgar Dewdney’s report 1st Jan.,1882, </w:t>
      </w:r>
      <w:r w:rsidRPr="00056D95">
        <w:rPr>
          <w:color w:val="000000"/>
          <w:sz w:val="20"/>
          <w:szCs w:val="20"/>
        </w:rPr>
        <w:t>41</w:t>
      </w:r>
      <w:r>
        <w:rPr>
          <w:color w:val="000000"/>
        </w:rPr>
        <w:t xml:space="preserve">. </w:t>
      </w:r>
    </w:p>
    <w:p w14:paraId="5F5E8D23" w14:textId="77777777" w:rsidR="00056D95" w:rsidRPr="00056D95" w:rsidRDefault="00056D95" w:rsidP="00056D95">
      <w:pPr>
        <w:pStyle w:val="NormalWeb"/>
        <w:spacing w:before="240" w:beforeAutospacing="0" w:after="240" w:afterAutospacing="0"/>
        <w:rPr>
          <w:rFonts w:ascii="-webkit-standard" w:hAnsi="-webkit-standard"/>
          <w:color w:val="000000"/>
        </w:rPr>
      </w:pPr>
    </w:p>
    <w:p w14:paraId="49596F3A" w14:textId="77777777" w:rsidR="00056D95" w:rsidRPr="00056D95" w:rsidRDefault="00056D95" w:rsidP="00056D95">
      <w:pPr>
        <w:spacing w:after="240"/>
      </w:pPr>
    </w:p>
    <w:p w14:paraId="070CDE83" w14:textId="77777777" w:rsidR="00056D95" w:rsidRPr="00056D95" w:rsidRDefault="00056D95" w:rsidP="00056D95">
      <w:pPr>
        <w:pStyle w:val="FootnoteText"/>
      </w:pPr>
    </w:p>
  </w:footnote>
  <w:footnote w:id="80">
    <w:p w14:paraId="0EF68347" w14:textId="4E90C120" w:rsidR="00056D95" w:rsidRPr="00056D95" w:rsidRDefault="00056D95" w:rsidP="00056D95">
      <w:pPr>
        <w:rPr>
          <w:sz w:val="20"/>
          <w:szCs w:val="20"/>
        </w:rPr>
      </w:pPr>
      <w:r w:rsidRPr="00056D95">
        <w:rPr>
          <w:rStyle w:val="FootnoteReference"/>
          <w:sz w:val="20"/>
          <w:szCs w:val="20"/>
        </w:rPr>
        <w:footnoteRef/>
      </w:r>
      <w:r w:rsidRPr="00056D95">
        <w:rPr>
          <w:sz w:val="20"/>
          <w:szCs w:val="20"/>
        </w:rPr>
        <w:t xml:space="preserve"> </w:t>
      </w:r>
      <w:r w:rsidRPr="00056D95">
        <w:rPr>
          <w:color w:val="000000"/>
          <w:sz w:val="20"/>
          <w:szCs w:val="20"/>
        </w:rPr>
        <w:t>Canada</w:t>
      </w:r>
      <w:r>
        <w:rPr>
          <w:color w:val="000000"/>
          <w:sz w:val="20"/>
          <w:szCs w:val="20"/>
        </w:rPr>
        <w:t xml:space="preserve">, </w:t>
      </w:r>
      <w:r w:rsidRPr="00056D95">
        <w:rPr>
          <w:i/>
          <w:iCs/>
          <w:color w:val="000000"/>
          <w:sz w:val="20"/>
          <w:szCs w:val="20"/>
        </w:rPr>
        <w:t>Sessional Papers</w:t>
      </w:r>
      <w:r>
        <w:rPr>
          <w:color w:val="000000"/>
          <w:sz w:val="20"/>
          <w:szCs w:val="20"/>
        </w:rPr>
        <w:t>,</w:t>
      </w:r>
      <w:r w:rsidRPr="00056D95">
        <w:rPr>
          <w:color w:val="000000"/>
          <w:sz w:val="20"/>
          <w:szCs w:val="20"/>
        </w:rPr>
        <w:t xml:space="preserve"> Annual Report of the Department of Indian Affairs for the year ended 31 </w:t>
      </w:r>
      <w:proofErr w:type="gramStart"/>
      <w:r w:rsidRPr="00056D95">
        <w:rPr>
          <w:color w:val="000000"/>
          <w:sz w:val="20"/>
          <w:szCs w:val="20"/>
        </w:rPr>
        <w:t>Dec.,</w:t>
      </w:r>
      <w:proofErr w:type="gramEnd"/>
      <w:r w:rsidRPr="00056D95">
        <w:rPr>
          <w:color w:val="000000"/>
          <w:sz w:val="20"/>
          <w:szCs w:val="20"/>
        </w:rPr>
        <w:t xml:space="preserve"> 1882. A. Macdonald report 28 </w:t>
      </w:r>
      <w:proofErr w:type="gramStart"/>
      <w:r w:rsidRPr="00056D95">
        <w:rPr>
          <w:color w:val="000000"/>
          <w:sz w:val="20"/>
          <w:szCs w:val="20"/>
        </w:rPr>
        <w:t>Dec.,</w:t>
      </w:r>
      <w:proofErr w:type="gramEnd"/>
      <w:r w:rsidRPr="00056D95">
        <w:rPr>
          <w:color w:val="000000"/>
          <w:sz w:val="20"/>
          <w:szCs w:val="20"/>
        </w:rPr>
        <w:t xml:space="preserve"> 1882, 260-1.</w:t>
      </w:r>
    </w:p>
  </w:footnote>
  <w:footnote w:id="81">
    <w:p w14:paraId="4431A209" w14:textId="62D12EE1" w:rsidR="00056D95" w:rsidRPr="00056D95" w:rsidRDefault="00056D95">
      <w:pPr>
        <w:pStyle w:val="FootnoteText"/>
      </w:pPr>
      <w:r w:rsidRPr="00056D95">
        <w:rPr>
          <w:rStyle w:val="FootnoteReference"/>
        </w:rPr>
        <w:footnoteRef/>
      </w:r>
      <w:r w:rsidRPr="00056D95">
        <w:t xml:space="preserve"> </w:t>
      </w:r>
      <w:r w:rsidRPr="00056D95">
        <w:rPr>
          <w:color w:val="000000"/>
        </w:rPr>
        <w:t xml:space="preserve">LAC, RG 10 v. 3687, f. 18362, R. McKinnon to Indian Commissioner, 30 </w:t>
      </w:r>
      <w:proofErr w:type="gramStart"/>
      <w:r w:rsidRPr="00056D95">
        <w:rPr>
          <w:color w:val="000000"/>
        </w:rPr>
        <w:t>April,</w:t>
      </w:r>
      <w:proofErr w:type="gramEnd"/>
      <w:r w:rsidRPr="00056D95">
        <w:rPr>
          <w:color w:val="000000"/>
        </w:rPr>
        <w:t xml:space="preserve"> 1884.</w:t>
      </w:r>
    </w:p>
  </w:footnote>
  <w:footnote w:id="82">
    <w:p w14:paraId="7E73E523" w14:textId="40FB77F3" w:rsidR="00056D95" w:rsidRPr="00056D95" w:rsidRDefault="00056D95" w:rsidP="00056D95">
      <w:pPr>
        <w:rPr>
          <w:sz w:val="20"/>
          <w:szCs w:val="20"/>
        </w:rPr>
      </w:pPr>
      <w:r w:rsidRPr="00056D95">
        <w:rPr>
          <w:rStyle w:val="FootnoteReference"/>
          <w:sz w:val="20"/>
          <w:szCs w:val="20"/>
        </w:rPr>
        <w:footnoteRef/>
      </w:r>
      <w:r w:rsidRPr="00056D95">
        <w:rPr>
          <w:sz w:val="20"/>
          <w:szCs w:val="20"/>
        </w:rPr>
        <w:t xml:space="preserve"> </w:t>
      </w:r>
      <w:r w:rsidRPr="00056D95">
        <w:rPr>
          <w:color w:val="000000"/>
          <w:sz w:val="20"/>
          <w:szCs w:val="20"/>
        </w:rPr>
        <w:t>Canada</w:t>
      </w:r>
      <w:r>
        <w:rPr>
          <w:color w:val="000000"/>
          <w:sz w:val="20"/>
          <w:szCs w:val="20"/>
        </w:rPr>
        <w:t xml:space="preserve">, </w:t>
      </w:r>
      <w:r w:rsidRPr="00056D95">
        <w:rPr>
          <w:i/>
          <w:iCs/>
          <w:color w:val="000000"/>
          <w:sz w:val="20"/>
          <w:szCs w:val="20"/>
        </w:rPr>
        <w:t>Sessional Papers</w:t>
      </w:r>
      <w:r>
        <w:rPr>
          <w:color w:val="000000"/>
          <w:sz w:val="20"/>
          <w:szCs w:val="20"/>
        </w:rPr>
        <w:t>,</w:t>
      </w:r>
      <w:r w:rsidRPr="00056D95">
        <w:rPr>
          <w:color w:val="000000"/>
          <w:sz w:val="20"/>
          <w:szCs w:val="20"/>
        </w:rPr>
        <w:t xml:space="preserve"> Annual Report of the Department of Indian Affairs for the year ended 31 </w:t>
      </w:r>
      <w:proofErr w:type="gramStart"/>
      <w:r w:rsidRPr="00056D95">
        <w:rPr>
          <w:color w:val="000000"/>
          <w:sz w:val="20"/>
          <w:szCs w:val="20"/>
        </w:rPr>
        <w:t>Dec.,</w:t>
      </w:r>
      <w:proofErr w:type="gramEnd"/>
      <w:r w:rsidRPr="00056D95">
        <w:rPr>
          <w:color w:val="000000"/>
          <w:sz w:val="20"/>
          <w:szCs w:val="20"/>
        </w:rPr>
        <w:t xml:space="preserve"> 1884. Report of the Superintendent General of Indian Affairs John A. Macdonald, 1 Jan. 1885, 67. </w:t>
      </w:r>
    </w:p>
  </w:footnote>
  <w:footnote w:id="83">
    <w:p w14:paraId="6E2D141E" w14:textId="15C975B6" w:rsidR="00056D95" w:rsidRDefault="00056D95">
      <w:pPr>
        <w:pStyle w:val="FootnoteText"/>
      </w:pPr>
      <w:r w:rsidRPr="00056D95">
        <w:rPr>
          <w:rStyle w:val="FootnoteReference"/>
        </w:rPr>
        <w:footnoteRef/>
      </w:r>
      <w:r>
        <w:rPr>
          <w:color w:val="000000"/>
          <w:shd w:val="clear" w:color="auto" w:fill="FFFFFF"/>
        </w:rPr>
        <w:t xml:space="preserve"> </w:t>
      </w:r>
      <w:r w:rsidRPr="00056D95">
        <w:rPr>
          <w:color w:val="000000"/>
          <w:shd w:val="clear" w:color="auto" w:fill="FFFFFF"/>
        </w:rPr>
        <w:t>Helen</w:t>
      </w:r>
      <w:r w:rsidRPr="00056D95">
        <w:t xml:space="preserve"> </w:t>
      </w:r>
      <w:proofErr w:type="spellStart"/>
      <w:proofErr w:type="gramStart"/>
      <w:r w:rsidRPr="00056D95">
        <w:rPr>
          <w:color w:val="000000"/>
          <w:shd w:val="clear" w:color="auto" w:fill="FFFFFF"/>
        </w:rPr>
        <w:t>Raptis</w:t>
      </w:r>
      <w:proofErr w:type="spellEnd"/>
      <w:r>
        <w:rPr>
          <w:color w:val="000000"/>
          <w:shd w:val="clear" w:color="auto" w:fill="FFFFFF"/>
        </w:rPr>
        <w:t>,</w:t>
      </w:r>
      <w:r w:rsidRPr="00056D95">
        <w:rPr>
          <w:color w:val="000000"/>
          <w:shd w:val="clear" w:color="auto" w:fill="FFFFFF"/>
        </w:rPr>
        <w:t>“</w:t>
      </w:r>
      <w:proofErr w:type="gramEnd"/>
      <w:r w:rsidRPr="00056D95">
        <w:rPr>
          <w:color w:val="000000"/>
          <w:shd w:val="clear" w:color="auto" w:fill="FFFFFF"/>
        </w:rPr>
        <w:t xml:space="preserve">Brian </w:t>
      </w:r>
      <w:proofErr w:type="spellStart"/>
      <w:r w:rsidRPr="00056D95">
        <w:rPr>
          <w:color w:val="000000"/>
          <w:shd w:val="clear" w:color="auto" w:fill="FFFFFF"/>
        </w:rPr>
        <w:t>Titley</w:t>
      </w:r>
      <w:proofErr w:type="spellEnd"/>
      <w:r w:rsidRPr="00056D95">
        <w:rPr>
          <w:color w:val="000000"/>
          <w:shd w:val="clear" w:color="auto" w:fill="FFFFFF"/>
        </w:rPr>
        <w:t>. The Indian Commissioners: Agents of the State and Indian Policy in Canada’s Prairie West, 1873–1932</w:t>
      </w:r>
      <w:r>
        <w:rPr>
          <w:color w:val="000000"/>
          <w:shd w:val="clear" w:color="auto" w:fill="FFFFFF"/>
        </w:rPr>
        <w:t>,”</w:t>
      </w:r>
      <w:r w:rsidRPr="00056D95">
        <w:rPr>
          <w:rStyle w:val="apple-converted-space"/>
          <w:color w:val="000000"/>
          <w:shd w:val="clear" w:color="auto" w:fill="FFFFFF"/>
        </w:rPr>
        <w:t> </w:t>
      </w:r>
      <w:r w:rsidRPr="00056D95">
        <w:rPr>
          <w:i/>
          <w:iCs/>
          <w:color w:val="000000"/>
        </w:rPr>
        <w:t xml:space="preserve">Historical Studies in Education </w:t>
      </w:r>
      <w:r w:rsidRPr="00056D95">
        <w:rPr>
          <w:color w:val="000000"/>
          <w:shd w:val="clear" w:color="auto" w:fill="FFFFFF"/>
        </w:rPr>
        <w:t>23</w:t>
      </w:r>
      <w:r>
        <w:rPr>
          <w:color w:val="000000"/>
          <w:shd w:val="clear" w:color="auto" w:fill="FFFFFF"/>
        </w:rPr>
        <w:t>,</w:t>
      </w:r>
      <w:r w:rsidRPr="00056D95">
        <w:rPr>
          <w:color w:val="000000"/>
          <w:shd w:val="clear" w:color="auto" w:fill="FFFFFF"/>
        </w:rPr>
        <w:t xml:space="preserve"> </w:t>
      </w:r>
      <w:r>
        <w:rPr>
          <w:color w:val="000000"/>
          <w:shd w:val="clear" w:color="auto" w:fill="FFFFFF"/>
        </w:rPr>
        <w:t xml:space="preserve">no. </w:t>
      </w:r>
      <w:r w:rsidRPr="00056D95">
        <w:rPr>
          <w:color w:val="000000"/>
          <w:shd w:val="clear" w:color="auto" w:fill="FFFFFF"/>
        </w:rPr>
        <w:t>2</w:t>
      </w:r>
      <w:r>
        <w:rPr>
          <w:color w:val="000000"/>
          <w:shd w:val="clear" w:color="auto" w:fill="FFFFFF"/>
        </w:rPr>
        <w:t xml:space="preserve"> (2011): 149. </w:t>
      </w:r>
    </w:p>
  </w:footnote>
  <w:footnote w:id="84">
    <w:p w14:paraId="5F6927CD" w14:textId="55A66964" w:rsidR="006274E2" w:rsidRDefault="006274E2">
      <w:pPr>
        <w:pStyle w:val="FootnoteText"/>
      </w:pPr>
      <w:r>
        <w:rPr>
          <w:rStyle w:val="FootnoteReference"/>
        </w:rPr>
        <w:footnoteRef/>
      </w:r>
      <w:r>
        <w:t xml:space="preserve"> </w:t>
      </w:r>
      <w:r w:rsidRPr="006274E2">
        <w:rPr>
          <w:color w:val="000000"/>
        </w:rPr>
        <w:t xml:space="preserve">Canada, </w:t>
      </w:r>
      <w:r w:rsidRPr="006274E2">
        <w:rPr>
          <w:i/>
          <w:iCs/>
          <w:color w:val="000000"/>
        </w:rPr>
        <w:t>Sessional Papers</w:t>
      </w:r>
      <w:r w:rsidRPr="006274E2">
        <w:rPr>
          <w:color w:val="000000"/>
        </w:rPr>
        <w:t xml:space="preserve">, Annual Reports of the Department of Indian Affairs for the year ended 31 </w:t>
      </w:r>
      <w:proofErr w:type="gramStart"/>
      <w:r w:rsidRPr="006274E2">
        <w:rPr>
          <w:color w:val="000000"/>
        </w:rPr>
        <w:t>Dec.,</w:t>
      </w:r>
      <w:proofErr w:type="gramEnd"/>
      <w:r w:rsidRPr="006274E2">
        <w:rPr>
          <w:color w:val="000000"/>
        </w:rPr>
        <w:t xml:space="preserve"> 1880, A. MacDonald to Superintendent General of Indian Affairs and Edwin Allen to the Superintendent General of Indian Affairs, 104.</w:t>
      </w:r>
    </w:p>
  </w:footnote>
  <w:footnote w:id="85">
    <w:p w14:paraId="18A5151C" w14:textId="2EB79BC9" w:rsidR="00BA6375" w:rsidRDefault="00BA6375">
      <w:pPr>
        <w:pStyle w:val="FootnoteText"/>
      </w:pPr>
      <w:r>
        <w:rPr>
          <w:rStyle w:val="FootnoteReference"/>
        </w:rPr>
        <w:footnoteRef/>
      </w:r>
      <w:r>
        <w:t xml:space="preserve"> </w:t>
      </w:r>
      <w:r w:rsidRPr="006274E2">
        <w:t xml:space="preserve">Canada, </w:t>
      </w:r>
      <w:r w:rsidRPr="006274E2">
        <w:rPr>
          <w:i/>
          <w:iCs/>
        </w:rPr>
        <w:t>Sessional Papers</w:t>
      </w:r>
      <w:r w:rsidRPr="006274E2">
        <w:t xml:space="preserve">, </w:t>
      </w:r>
      <w:r w:rsidRPr="006274E2">
        <w:rPr>
          <w:color w:val="000000"/>
        </w:rPr>
        <w:t xml:space="preserve">31 </w:t>
      </w:r>
      <w:proofErr w:type="gramStart"/>
      <w:r w:rsidRPr="006274E2">
        <w:rPr>
          <w:color w:val="000000"/>
        </w:rPr>
        <w:t>Dec.,</w:t>
      </w:r>
      <w:proofErr w:type="gramEnd"/>
      <w:r w:rsidRPr="006274E2">
        <w:rPr>
          <w:color w:val="000000"/>
        </w:rPr>
        <w:t xml:space="preserve"> 1880, A. MacDonald and Edwin Allen, 10</w:t>
      </w:r>
      <w:r>
        <w:rPr>
          <w:color w:val="000000"/>
        </w:rPr>
        <w:t>4-5.</w:t>
      </w:r>
    </w:p>
  </w:footnote>
  <w:footnote w:id="86">
    <w:p w14:paraId="2DCCC520" w14:textId="003DFFC3" w:rsidR="00056D95" w:rsidRPr="006274E2" w:rsidRDefault="00056D95" w:rsidP="006274E2">
      <w:pPr>
        <w:pStyle w:val="FootnoteText"/>
      </w:pPr>
      <w:r w:rsidRPr="006274E2">
        <w:rPr>
          <w:rStyle w:val="FootnoteReference"/>
        </w:rPr>
        <w:footnoteRef/>
      </w:r>
      <w:r w:rsidRPr="006274E2">
        <w:t xml:space="preserve"> Canada, </w:t>
      </w:r>
      <w:r w:rsidRPr="006274E2">
        <w:rPr>
          <w:i/>
          <w:iCs/>
        </w:rPr>
        <w:t>Sessional Papers</w:t>
      </w:r>
      <w:r w:rsidRPr="006274E2">
        <w:t xml:space="preserve">, </w:t>
      </w:r>
      <w:r w:rsidRPr="006274E2">
        <w:rPr>
          <w:color w:val="000000"/>
        </w:rPr>
        <w:t xml:space="preserve">31 </w:t>
      </w:r>
      <w:proofErr w:type="gramStart"/>
      <w:r w:rsidRPr="006274E2">
        <w:rPr>
          <w:color w:val="000000"/>
        </w:rPr>
        <w:t>Dec.,</w:t>
      </w:r>
      <w:proofErr w:type="gramEnd"/>
      <w:r w:rsidRPr="006274E2">
        <w:rPr>
          <w:color w:val="000000"/>
        </w:rPr>
        <w:t xml:space="preserve"> 1880, A. MacDonald and Edwin Allen, 105-6. </w:t>
      </w:r>
    </w:p>
  </w:footnote>
  <w:footnote w:id="87">
    <w:p w14:paraId="0B08EF84" w14:textId="22B69C3E" w:rsidR="00056D95" w:rsidRPr="006274E2" w:rsidRDefault="00056D95" w:rsidP="006274E2">
      <w:pPr>
        <w:pStyle w:val="FootnoteText"/>
      </w:pPr>
      <w:r w:rsidRPr="006274E2">
        <w:rPr>
          <w:rStyle w:val="FootnoteReference"/>
        </w:rPr>
        <w:footnoteRef/>
      </w:r>
      <w:r w:rsidRPr="006274E2">
        <w:t xml:space="preserve"> Canada, </w:t>
      </w:r>
      <w:r w:rsidRPr="006274E2">
        <w:rPr>
          <w:i/>
          <w:iCs/>
        </w:rPr>
        <w:t>Sessional Papers</w:t>
      </w:r>
      <w:r w:rsidRPr="006274E2">
        <w:t xml:space="preserve">, </w:t>
      </w:r>
      <w:r w:rsidRPr="006274E2">
        <w:rPr>
          <w:color w:val="000000"/>
        </w:rPr>
        <w:t xml:space="preserve">31 </w:t>
      </w:r>
      <w:proofErr w:type="gramStart"/>
      <w:r w:rsidRPr="006274E2">
        <w:rPr>
          <w:color w:val="000000"/>
        </w:rPr>
        <w:t>Dec.,</w:t>
      </w:r>
      <w:proofErr w:type="gramEnd"/>
      <w:r w:rsidRPr="006274E2">
        <w:rPr>
          <w:color w:val="000000"/>
        </w:rPr>
        <w:t xml:space="preserve"> 1880, A. MacDonald and Edwin Allen, 106.</w:t>
      </w:r>
    </w:p>
  </w:footnote>
  <w:footnote w:id="88">
    <w:p w14:paraId="5C3D287D" w14:textId="6E625D84" w:rsidR="006274E2" w:rsidRDefault="006274E2">
      <w:pPr>
        <w:pStyle w:val="FootnoteText"/>
      </w:pPr>
      <w:r>
        <w:rPr>
          <w:rStyle w:val="FootnoteReference"/>
        </w:rPr>
        <w:footnoteRef/>
      </w:r>
      <w:r>
        <w:t xml:space="preserve"> </w:t>
      </w:r>
      <w:r w:rsidRPr="00056D95">
        <w:rPr>
          <w:color w:val="000000"/>
        </w:rPr>
        <w:t xml:space="preserve">LAC, RG 10 v. 3687, f. 18362, R. McKinnon to Indian Commissioner, 30 </w:t>
      </w:r>
      <w:proofErr w:type="gramStart"/>
      <w:r w:rsidRPr="00056D95">
        <w:rPr>
          <w:color w:val="000000"/>
        </w:rPr>
        <w:t>Apr</w:t>
      </w:r>
      <w:r w:rsidR="00BA6375">
        <w:rPr>
          <w:color w:val="000000"/>
        </w:rPr>
        <w:t>.,</w:t>
      </w:r>
      <w:proofErr w:type="gramEnd"/>
      <w:r w:rsidRPr="00056D95">
        <w:rPr>
          <w:color w:val="000000"/>
        </w:rPr>
        <w:t xml:space="preserve"> 1884.</w:t>
      </w:r>
    </w:p>
  </w:footnote>
  <w:footnote w:id="89">
    <w:p w14:paraId="06885EB7" w14:textId="72D1342B" w:rsidR="00056D95" w:rsidRDefault="00056D95">
      <w:pPr>
        <w:pStyle w:val="FootnoteText"/>
      </w:pPr>
      <w:r>
        <w:rPr>
          <w:rStyle w:val="FootnoteReference"/>
        </w:rPr>
        <w:footnoteRef/>
      </w:r>
      <w:r>
        <w:t xml:space="preserve"> </w:t>
      </w:r>
      <w:r w:rsidRPr="00056D95">
        <w:rPr>
          <w:color w:val="000000"/>
        </w:rPr>
        <w:t>Canada</w:t>
      </w:r>
      <w:r>
        <w:rPr>
          <w:color w:val="000000"/>
        </w:rPr>
        <w:t>,</w:t>
      </w:r>
      <w:r w:rsidRPr="00056D95">
        <w:rPr>
          <w:color w:val="000000"/>
        </w:rPr>
        <w:t xml:space="preserve"> </w:t>
      </w:r>
      <w:r w:rsidRPr="00056D95">
        <w:rPr>
          <w:i/>
          <w:iCs/>
          <w:color w:val="000000"/>
        </w:rPr>
        <w:t>Sessional Papers</w:t>
      </w:r>
      <w:r>
        <w:rPr>
          <w:color w:val="000000"/>
        </w:rPr>
        <w:t>,</w:t>
      </w:r>
      <w:r w:rsidRPr="00056D95">
        <w:rPr>
          <w:color w:val="000000"/>
        </w:rPr>
        <w:t xml:space="preserve"> Annual Reports of the Department of Indian Affairs for the year ended 31 </w:t>
      </w:r>
      <w:proofErr w:type="gramStart"/>
      <w:r w:rsidRPr="00056D95">
        <w:rPr>
          <w:color w:val="000000"/>
        </w:rPr>
        <w:t>Dec.,</w:t>
      </w:r>
      <w:proofErr w:type="gramEnd"/>
      <w:r w:rsidRPr="00056D95">
        <w:rPr>
          <w:color w:val="000000"/>
        </w:rPr>
        <w:t xml:space="preserve"> </w:t>
      </w:r>
      <w:r w:rsidR="00BA6375" w:rsidRPr="00056D95">
        <w:rPr>
          <w:color w:val="000000"/>
        </w:rPr>
        <w:t xml:space="preserve">1880, </w:t>
      </w:r>
      <w:r w:rsidR="00BA6375" w:rsidRPr="00056D95">
        <w:t>Table</w:t>
      </w:r>
      <w:r w:rsidRPr="00056D95">
        <w:rPr>
          <w:color w:val="000000"/>
        </w:rPr>
        <w:t xml:space="preserve"> A. Indians of Manitoba and North-West</w:t>
      </w:r>
      <w:r>
        <w:rPr>
          <w:color w:val="000000"/>
        </w:rPr>
        <w:t xml:space="preserve">, 233. </w:t>
      </w:r>
    </w:p>
  </w:footnote>
  <w:footnote w:id="90">
    <w:p w14:paraId="37390F90" w14:textId="4C2B3BEC" w:rsidR="00056D95" w:rsidRDefault="00056D95">
      <w:pPr>
        <w:pStyle w:val="FootnoteText"/>
      </w:pPr>
      <w:r>
        <w:rPr>
          <w:rStyle w:val="FootnoteReference"/>
        </w:rPr>
        <w:footnoteRef/>
      </w:r>
      <w:r>
        <w:t xml:space="preserve"> </w:t>
      </w:r>
      <w:r w:rsidRPr="00056D95">
        <w:rPr>
          <w:color w:val="000000"/>
        </w:rPr>
        <w:t>Canada</w:t>
      </w:r>
      <w:r>
        <w:rPr>
          <w:color w:val="000000"/>
        </w:rPr>
        <w:t>,</w:t>
      </w:r>
      <w:r w:rsidRPr="00056D95">
        <w:rPr>
          <w:color w:val="000000"/>
        </w:rPr>
        <w:t xml:space="preserve"> </w:t>
      </w:r>
      <w:r w:rsidRPr="00056D95">
        <w:rPr>
          <w:i/>
          <w:iCs/>
          <w:color w:val="000000"/>
        </w:rPr>
        <w:t>Sessional Papers</w:t>
      </w:r>
      <w:r>
        <w:rPr>
          <w:color w:val="000000"/>
        </w:rPr>
        <w:t>,</w:t>
      </w:r>
      <w:r w:rsidRPr="00056D95">
        <w:rPr>
          <w:color w:val="000000"/>
        </w:rPr>
        <w:t xml:space="preserve"> Annual Reports of the Department of Indian Affairs for the year ended 31 </w:t>
      </w:r>
      <w:proofErr w:type="gramStart"/>
      <w:r w:rsidRPr="00056D95">
        <w:rPr>
          <w:color w:val="000000"/>
        </w:rPr>
        <w:t>Dec.,</w:t>
      </w:r>
      <w:proofErr w:type="gramEnd"/>
      <w:r w:rsidRPr="00056D95">
        <w:rPr>
          <w:color w:val="000000"/>
        </w:rPr>
        <w:t xml:space="preserve"> </w:t>
      </w:r>
      <w:r w:rsidR="00BA6375" w:rsidRPr="00056D95">
        <w:rPr>
          <w:color w:val="000000"/>
        </w:rPr>
        <w:t xml:space="preserve">1880, </w:t>
      </w:r>
      <w:r w:rsidR="00BA6375" w:rsidRPr="00056D95">
        <w:t>Table</w:t>
      </w:r>
      <w:r>
        <w:rPr>
          <w:color w:val="000000"/>
        </w:rPr>
        <w:t xml:space="preserve"> C. Indians of Manitoba and North-West, Provisions at annuity payments and relief, 254-5. </w:t>
      </w:r>
    </w:p>
  </w:footnote>
  <w:footnote w:id="91">
    <w:p w14:paraId="1F3F2122" w14:textId="107E91C0" w:rsidR="00056D95" w:rsidRDefault="00056D95">
      <w:pPr>
        <w:pStyle w:val="FootnoteText"/>
      </w:pPr>
      <w:r>
        <w:rPr>
          <w:rStyle w:val="FootnoteReference"/>
        </w:rPr>
        <w:footnoteRef/>
      </w:r>
      <w:r>
        <w:t xml:space="preserve"> </w:t>
      </w:r>
      <w:r w:rsidRPr="00056D95">
        <w:rPr>
          <w:color w:val="000000"/>
        </w:rPr>
        <w:t xml:space="preserve">Library Archives Canada (LAC) Record Group 10 </w:t>
      </w:r>
      <w:r>
        <w:rPr>
          <w:color w:val="000000"/>
        </w:rPr>
        <w:t xml:space="preserve">(RG 10) </w:t>
      </w:r>
      <w:r w:rsidRPr="00056D95">
        <w:rPr>
          <w:color w:val="000000"/>
        </w:rPr>
        <w:t xml:space="preserve">Records of the department of Indian Affairs RG 10, v. 3687, f. 13, 698, F.L. Hunt to Edgar Dewdney, 16 </w:t>
      </w:r>
      <w:proofErr w:type="gramStart"/>
      <w:r w:rsidRPr="00056D95">
        <w:rPr>
          <w:color w:val="000000"/>
        </w:rPr>
        <w:t>Mar</w:t>
      </w:r>
      <w:r w:rsidR="00BA6375">
        <w:rPr>
          <w:color w:val="000000"/>
        </w:rPr>
        <w:t>.</w:t>
      </w:r>
      <w:r w:rsidRPr="00056D95">
        <w:rPr>
          <w:color w:val="000000"/>
        </w:rPr>
        <w:t>,</w:t>
      </w:r>
      <w:proofErr w:type="gramEnd"/>
      <w:r w:rsidRPr="00056D95">
        <w:rPr>
          <w:color w:val="000000"/>
        </w:rPr>
        <w:t xml:space="preserve"> 1880.</w:t>
      </w:r>
    </w:p>
  </w:footnote>
  <w:footnote w:id="92">
    <w:p w14:paraId="1216D766" w14:textId="369CC8D9" w:rsidR="00056D95" w:rsidRDefault="00056D95">
      <w:pPr>
        <w:pStyle w:val="FootnoteText"/>
      </w:pPr>
      <w:r>
        <w:rPr>
          <w:rStyle w:val="FootnoteReference"/>
        </w:rPr>
        <w:footnoteRef/>
      </w:r>
      <w:r>
        <w:t xml:space="preserve"> </w:t>
      </w:r>
      <w:r w:rsidRPr="00056D95">
        <w:rPr>
          <w:color w:val="000000"/>
        </w:rPr>
        <w:t xml:space="preserve">LAC RG 10, v. 3687, f. 13, 698, F.L. Hunt to Edgar Dewdney, 16 </w:t>
      </w:r>
      <w:proofErr w:type="gramStart"/>
      <w:r w:rsidRPr="00056D95">
        <w:rPr>
          <w:color w:val="000000"/>
        </w:rPr>
        <w:t>Mar</w:t>
      </w:r>
      <w:r w:rsidR="00BA6375">
        <w:rPr>
          <w:color w:val="000000"/>
        </w:rPr>
        <w:t>.</w:t>
      </w:r>
      <w:r w:rsidRPr="00056D95">
        <w:rPr>
          <w:color w:val="000000"/>
        </w:rPr>
        <w:t>,</w:t>
      </w:r>
      <w:proofErr w:type="gramEnd"/>
      <w:r w:rsidRPr="00056D95">
        <w:rPr>
          <w:color w:val="000000"/>
        </w:rPr>
        <w:t xml:space="preserve"> 1880.</w:t>
      </w:r>
    </w:p>
  </w:footnote>
  <w:footnote w:id="93">
    <w:p w14:paraId="7702B917" w14:textId="5A6551AB" w:rsidR="00056D95" w:rsidRPr="00056D95" w:rsidRDefault="00056D95" w:rsidP="00056D95">
      <w:pPr>
        <w:rPr>
          <w:sz w:val="20"/>
          <w:szCs w:val="20"/>
        </w:rPr>
      </w:pPr>
      <w:r w:rsidRPr="00056D95">
        <w:rPr>
          <w:rStyle w:val="FootnoteReference"/>
          <w:sz w:val="20"/>
          <w:szCs w:val="20"/>
        </w:rPr>
        <w:footnoteRef/>
      </w:r>
      <w:r w:rsidRPr="00056D95">
        <w:rPr>
          <w:sz w:val="20"/>
          <w:szCs w:val="20"/>
        </w:rPr>
        <w:t xml:space="preserve"> </w:t>
      </w:r>
      <w:r w:rsidRPr="00056D95">
        <w:rPr>
          <w:color w:val="000000"/>
          <w:sz w:val="20"/>
          <w:szCs w:val="20"/>
        </w:rPr>
        <w:t>Canada</w:t>
      </w:r>
      <w:r>
        <w:rPr>
          <w:color w:val="000000"/>
          <w:sz w:val="20"/>
          <w:szCs w:val="20"/>
        </w:rPr>
        <w:t>,</w:t>
      </w:r>
      <w:r w:rsidRPr="00056D95">
        <w:rPr>
          <w:color w:val="000000"/>
          <w:sz w:val="20"/>
          <w:szCs w:val="20"/>
        </w:rPr>
        <w:t xml:space="preserve"> </w:t>
      </w:r>
      <w:r w:rsidRPr="00056D95">
        <w:rPr>
          <w:i/>
          <w:iCs/>
          <w:color w:val="000000"/>
          <w:sz w:val="20"/>
          <w:szCs w:val="20"/>
        </w:rPr>
        <w:t>Sessional Papers</w:t>
      </w:r>
      <w:r>
        <w:rPr>
          <w:color w:val="000000"/>
          <w:sz w:val="20"/>
          <w:szCs w:val="20"/>
        </w:rPr>
        <w:t>,</w:t>
      </w:r>
      <w:r w:rsidRPr="00056D95">
        <w:rPr>
          <w:color w:val="000000"/>
          <w:sz w:val="20"/>
          <w:szCs w:val="20"/>
        </w:rPr>
        <w:t xml:space="preserve"> Annual Report of the Department of Indian Affairs for the year ended 31 Dec., 1881, Extracts complied by John A. Macdonald in his annual report as Superintendent General of Indian Affairs: Fort Ellice, N.W.T. 26 Jan., 1881 (likely by Agent A. Macdonald)</w:t>
      </w:r>
      <w:r>
        <w:rPr>
          <w:color w:val="000000"/>
          <w:sz w:val="20"/>
          <w:szCs w:val="20"/>
        </w:rPr>
        <w:t xml:space="preserve">, </w:t>
      </w:r>
      <w:r w:rsidRPr="00056D95">
        <w:rPr>
          <w:color w:val="000000"/>
          <w:sz w:val="20"/>
          <w:szCs w:val="20"/>
        </w:rPr>
        <w:t>Fort Ellice, 27 Sept. 1881</w:t>
      </w:r>
      <w:r>
        <w:rPr>
          <w:color w:val="000000"/>
          <w:sz w:val="20"/>
          <w:szCs w:val="20"/>
        </w:rPr>
        <w:t>, xxxii-xxx.</w:t>
      </w:r>
    </w:p>
  </w:footnote>
  <w:footnote w:id="94">
    <w:p w14:paraId="2BB12673" w14:textId="5289D884" w:rsidR="00056D95" w:rsidRPr="00056D95" w:rsidRDefault="00056D95" w:rsidP="006274E2">
      <w:pPr>
        <w:rPr>
          <w:sz w:val="20"/>
          <w:szCs w:val="20"/>
        </w:rPr>
      </w:pPr>
      <w:r w:rsidRPr="00056D95">
        <w:rPr>
          <w:rStyle w:val="FootnoteReference"/>
          <w:sz w:val="20"/>
          <w:szCs w:val="20"/>
        </w:rPr>
        <w:footnoteRef/>
      </w:r>
      <w:r w:rsidRPr="00056D95">
        <w:rPr>
          <w:sz w:val="20"/>
          <w:szCs w:val="20"/>
        </w:rPr>
        <w:t xml:space="preserve"> </w:t>
      </w:r>
      <w:r w:rsidRPr="00056D95">
        <w:rPr>
          <w:color w:val="000000"/>
          <w:sz w:val="20"/>
          <w:szCs w:val="20"/>
        </w:rPr>
        <w:t xml:space="preserve">Canada, </w:t>
      </w:r>
      <w:r w:rsidRPr="00056D95">
        <w:rPr>
          <w:i/>
          <w:iCs/>
          <w:color w:val="000000"/>
          <w:sz w:val="20"/>
          <w:szCs w:val="20"/>
        </w:rPr>
        <w:t>Sessional Papers</w:t>
      </w:r>
      <w:r w:rsidRPr="00056D95">
        <w:rPr>
          <w:color w:val="000000"/>
          <w:sz w:val="20"/>
          <w:szCs w:val="20"/>
        </w:rPr>
        <w:t xml:space="preserve">, 31 </w:t>
      </w:r>
      <w:proofErr w:type="gramStart"/>
      <w:r w:rsidRPr="00056D95">
        <w:rPr>
          <w:color w:val="000000"/>
          <w:sz w:val="20"/>
          <w:szCs w:val="20"/>
        </w:rPr>
        <w:t>Dec.,</w:t>
      </w:r>
      <w:proofErr w:type="gramEnd"/>
      <w:r w:rsidRPr="00056D95">
        <w:rPr>
          <w:color w:val="000000"/>
          <w:sz w:val="20"/>
          <w:szCs w:val="20"/>
        </w:rPr>
        <w:t xml:space="preserve"> 1881. Edgar Dewdney’s report 1st Jan.,1882, 38-9. </w:t>
      </w:r>
    </w:p>
  </w:footnote>
  <w:footnote w:id="95">
    <w:p w14:paraId="2B408A9E" w14:textId="269C0C51" w:rsidR="00056D95" w:rsidRPr="006274E2" w:rsidRDefault="00056D95" w:rsidP="006274E2">
      <w:pPr>
        <w:rPr>
          <w:sz w:val="20"/>
          <w:szCs w:val="20"/>
        </w:rPr>
      </w:pPr>
      <w:r>
        <w:rPr>
          <w:rStyle w:val="FootnoteReference"/>
        </w:rPr>
        <w:footnoteRef/>
      </w:r>
      <w:r>
        <w:t xml:space="preserve"> </w:t>
      </w:r>
      <w:r w:rsidRPr="00056D95">
        <w:rPr>
          <w:color w:val="000000"/>
          <w:sz w:val="20"/>
          <w:szCs w:val="20"/>
        </w:rPr>
        <w:t>Canada</w:t>
      </w:r>
      <w:r>
        <w:rPr>
          <w:color w:val="000000"/>
          <w:sz w:val="20"/>
          <w:szCs w:val="20"/>
        </w:rPr>
        <w:t>,</w:t>
      </w:r>
      <w:r w:rsidRPr="00056D95">
        <w:rPr>
          <w:color w:val="000000"/>
          <w:sz w:val="20"/>
          <w:szCs w:val="20"/>
        </w:rPr>
        <w:t xml:space="preserve"> </w:t>
      </w:r>
      <w:r w:rsidRPr="00056D95">
        <w:rPr>
          <w:i/>
          <w:iCs/>
          <w:color w:val="000000"/>
          <w:sz w:val="20"/>
          <w:szCs w:val="20"/>
        </w:rPr>
        <w:t>Sessional Papers</w:t>
      </w:r>
      <w:r>
        <w:rPr>
          <w:color w:val="000000"/>
          <w:sz w:val="20"/>
          <w:szCs w:val="20"/>
        </w:rPr>
        <w:t>,</w:t>
      </w:r>
      <w:r w:rsidRPr="00056D95">
        <w:rPr>
          <w:color w:val="000000"/>
          <w:sz w:val="20"/>
          <w:szCs w:val="20"/>
        </w:rPr>
        <w:t xml:space="preserve"> 31 </w:t>
      </w:r>
      <w:proofErr w:type="gramStart"/>
      <w:r w:rsidRPr="00056D95">
        <w:rPr>
          <w:color w:val="000000"/>
          <w:sz w:val="20"/>
          <w:szCs w:val="20"/>
        </w:rPr>
        <w:t>Dec.,</w:t>
      </w:r>
      <w:proofErr w:type="gramEnd"/>
      <w:r w:rsidRPr="00056D95">
        <w:rPr>
          <w:color w:val="000000"/>
          <w:sz w:val="20"/>
          <w:szCs w:val="20"/>
        </w:rPr>
        <w:t xml:space="preserve"> 1881, Extracts complied by John A. Macdonald in his annual</w:t>
      </w:r>
      <w:r>
        <w:rPr>
          <w:color w:val="000000"/>
          <w:sz w:val="20"/>
          <w:szCs w:val="20"/>
        </w:rPr>
        <w:t xml:space="preserve">, </w:t>
      </w:r>
      <w:r w:rsidRPr="00056D95">
        <w:rPr>
          <w:color w:val="000000"/>
          <w:sz w:val="20"/>
          <w:szCs w:val="20"/>
        </w:rPr>
        <w:t>Fort Ellice, 27 Sept. 1881</w:t>
      </w:r>
      <w:r>
        <w:rPr>
          <w:color w:val="000000"/>
          <w:sz w:val="20"/>
          <w:szCs w:val="20"/>
        </w:rPr>
        <w:t>, xxxiv.</w:t>
      </w:r>
      <w:r w:rsidR="00BA6375">
        <w:rPr>
          <w:color w:val="000000"/>
          <w:sz w:val="20"/>
          <w:szCs w:val="20"/>
        </w:rPr>
        <w:t xml:space="preserve"> </w:t>
      </w:r>
    </w:p>
  </w:footnote>
  <w:footnote w:id="96">
    <w:p w14:paraId="38637BE4" w14:textId="0D04CF25" w:rsidR="00BA6375" w:rsidRDefault="00BA6375">
      <w:pPr>
        <w:pStyle w:val="FootnoteText"/>
      </w:pPr>
      <w:r>
        <w:rPr>
          <w:rStyle w:val="FootnoteReference"/>
        </w:rPr>
        <w:footnoteRef/>
      </w:r>
      <w:r>
        <w:t xml:space="preserve"> Canada, </w:t>
      </w:r>
      <w:r w:rsidRPr="00BA6375">
        <w:rPr>
          <w:i/>
          <w:iCs/>
        </w:rPr>
        <w:t>Sessional Papers</w:t>
      </w:r>
      <w:r>
        <w:t xml:space="preserve">, Annual Report of the Department of Indian Affairs for the year ended 31 </w:t>
      </w:r>
      <w:proofErr w:type="gramStart"/>
      <w:r>
        <w:t>Dec.,</w:t>
      </w:r>
      <w:proofErr w:type="gramEnd"/>
      <w:r>
        <w:t xml:space="preserve"> 1881, Table H. Indians of Manitoba and North-West – employees and salaries, 158.</w:t>
      </w:r>
    </w:p>
  </w:footnote>
  <w:footnote w:id="97">
    <w:p w14:paraId="60755633" w14:textId="02ABF9A3" w:rsidR="00056D95" w:rsidRPr="00056D95" w:rsidRDefault="00056D95" w:rsidP="00056D95">
      <w:pPr>
        <w:rPr>
          <w:sz w:val="20"/>
          <w:szCs w:val="20"/>
        </w:rPr>
      </w:pPr>
      <w:r w:rsidRPr="00056D95">
        <w:rPr>
          <w:rStyle w:val="FootnoteReference"/>
          <w:sz w:val="20"/>
          <w:szCs w:val="20"/>
        </w:rPr>
        <w:footnoteRef/>
      </w:r>
      <w:r w:rsidRPr="00056D95">
        <w:rPr>
          <w:sz w:val="20"/>
          <w:szCs w:val="20"/>
        </w:rPr>
        <w:t xml:space="preserve"> </w:t>
      </w:r>
      <w:r w:rsidRPr="00056D95">
        <w:rPr>
          <w:color w:val="000000"/>
          <w:sz w:val="20"/>
          <w:szCs w:val="20"/>
        </w:rPr>
        <w:t xml:space="preserve">Canada, </w:t>
      </w:r>
      <w:r w:rsidRPr="00056D95">
        <w:rPr>
          <w:i/>
          <w:iCs/>
          <w:color w:val="000000"/>
          <w:sz w:val="20"/>
          <w:szCs w:val="20"/>
        </w:rPr>
        <w:t>Sessional Papers</w:t>
      </w:r>
      <w:r w:rsidRPr="00056D95">
        <w:rPr>
          <w:color w:val="000000"/>
          <w:sz w:val="20"/>
          <w:szCs w:val="20"/>
        </w:rPr>
        <w:t xml:space="preserve">, 31 </w:t>
      </w:r>
      <w:proofErr w:type="gramStart"/>
      <w:r w:rsidRPr="00056D95">
        <w:rPr>
          <w:color w:val="000000"/>
          <w:sz w:val="20"/>
          <w:szCs w:val="20"/>
        </w:rPr>
        <w:t>Dec.,</w:t>
      </w:r>
      <w:proofErr w:type="gramEnd"/>
      <w:r w:rsidRPr="00056D95">
        <w:rPr>
          <w:color w:val="000000"/>
          <w:sz w:val="20"/>
          <w:szCs w:val="20"/>
        </w:rPr>
        <w:t xml:space="preserve"> 1881, Extracts complied by John A. Macdonald in his annual, Fort Ellice, 27 Sept. 1881, xxiv.</w:t>
      </w:r>
    </w:p>
  </w:footnote>
  <w:footnote w:id="98">
    <w:p w14:paraId="05E430EF" w14:textId="08E210D0" w:rsidR="00056D95" w:rsidRPr="00056D95" w:rsidRDefault="00056D95" w:rsidP="00056D95">
      <w:pPr>
        <w:rPr>
          <w:sz w:val="20"/>
          <w:szCs w:val="20"/>
        </w:rPr>
      </w:pPr>
      <w:r w:rsidRPr="00056D95">
        <w:rPr>
          <w:rStyle w:val="FootnoteReference"/>
          <w:sz w:val="20"/>
          <w:szCs w:val="20"/>
        </w:rPr>
        <w:footnoteRef/>
      </w:r>
      <w:r w:rsidRPr="00056D95">
        <w:rPr>
          <w:sz w:val="20"/>
          <w:szCs w:val="20"/>
        </w:rPr>
        <w:t xml:space="preserve"> </w:t>
      </w:r>
      <w:r w:rsidRPr="00056D95">
        <w:rPr>
          <w:color w:val="000000"/>
          <w:sz w:val="20"/>
          <w:szCs w:val="20"/>
        </w:rPr>
        <w:t xml:space="preserve">Canada, </w:t>
      </w:r>
      <w:r w:rsidRPr="00056D95">
        <w:rPr>
          <w:i/>
          <w:iCs/>
          <w:color w:val="000000"/>
          <w:sz w:val="20"/>
          <w:szCs w:val="20"/>
        </w:rPr>
        <w:t>Sessional Papers</w:t>
      </w:r>
      <w:r w:rsidRPr="00056D95">
        <w:rPr>
          <w:color w:val="000000"/>
          <w:sz w:val="20"/>
          <w:szCs w:val="20"/>
        </w:rPr>
        <w:t xml:space="preserve">, 31 </w:t>
      </w:r>
      <w:proofErr w:type="gramStart"/>
      <w:r w:rsidRPr="00056D95">
        <w:rPr>
          <w:color w:val="000000"/>
          <w:sz w:val="20"/>
          <w:szCs w:val="20"/>
        </w:rPr>
        <w:t>Dec.,</w:t>
      </w:r>
      <w:proofErr w:type="gramEnd"/>
      <w:r w:rsidRPr="00056D95">
        <w:rPr>
          <w:color w:val="000000"/>
          <w:sz w:val="20"/>
          <w:szCs w:val="20"/>
        </w:rPr>
        <w:t xml:space="preserve"> 1881, Extracts complied by John A. Macdonald in his annual, Fort Ellice, 27 Sept. 1881, xxxi.</w:t>
      </w:r>
    </w:p>
    <w:p w14:paraId="6FE3CC22" w14:textId="1E35F726" w:rsidR="00056D95" w:rsidRDefault="00056D95">
      <w:pPr>
        <w:pStyle w:val="FootnoteText"/>
      </w:pPr>
    </w:p>
  </w:footnote>
  <w:footnote w:id="99">
    <w:p w14:paraId="6C249D9F" w14:textId="21EF0DA6" w:rsidR="00056D95" w:rsidRPr="00056D95" w:rsidRDefault="00056D95" w:rsidP="00056D95">
      <w:pPr>
        <w:rPr>
          <w:sz w:val="20"/>
          <w:szCs w:val="20"/>
        </w:rPr>
      </w:pPr>
      <w:r>
        <w:rPr>
          <w:rStyle w:val="FootnoteReference"/>
        </w:rPr>
        <w:footnoteRef/>
      </w:r>
      <w:r>
        <w:t xml:space="preserve"> </w:t>
      </w:r>
      <w:r w:rsidRPr="00056D95">
        <w:rPr>
          <w:color w:val="000000"/>
          <w:sz w:val="20"/>
          <w:szCs w:val="20"/>
        </w:rPr>
        <w:t xml:space="preserve">Canada, </w:t>
      </w:r>
      <w:r w:rsidRPr="00056D95">
        <w:rPr>
          <w:i/>
          <w:iCs/>
          <w:color w:val="000000"/>
          <w:sz w:val="20"/>
          <w:szCs w:val="20"/>
        </w:rPr>
        <w:t>Sessional Papers</w:t>
      </w:r>
      <w:r w:rsidRPr="00056D95">
        <w:rPr>
          <w:color w:val="000000"/>
          <w:sz w:val="20"/>
          <w:szCs w:val="20"/>
        </w:rPr>
        <w:t xml:space="preserve">, 31 </w:t>
      </w:r>
      <w:proofErr w:type="gramStart"/>
      <w:r w:rsidRPr="00056D95">
        <w:rPr>
          <w:color w:val="000000"/>
          <w:sz w:val="20"/>
          <w:szCs w:val="20"/>
        </w:rPr>
        <w:t>Dec.,</w:t>
      </w:r>
      <w:proofErr w:type="gramEnd"/>
      <w:r w:rsidRPr="00056D95">
        <w:rPr>
          <w:color w:val="000000"/>
          <w:sz w:val="20"/>
          <w:szCs w:val="20"/>
        </w:rPr>
        <w:t xml:space="preserve"> 1881. Edgar Dewdney’s report 1st Jan.,1882, 3</w:t>
      </w:r>
      <w:r>
        <w:rPr>
          <w:color w:val="000000"/>
          <w:sz w:val="20"/>
          <w:szCs w:val="20"/>
        </w:rPr>
        <w:t xml:space="preserve">7. </w:t>
      </w:r>
    </w:p>
  </w:footnote>
  <w:footnote w:id="100">
    <w:p w14:paraId="120297F9" w14:textId="289ED8EB" w:rsidR="00056D95" w:rsidRPr="00056D95" w:rsidRDefault="00056D95" w:rsidP="00056D95">
      <w:pPr>
        <w:rPr>
          <w:sz w:val="20"/>
          <w:szCs w:val="20"/>
        </w:rPr>
      </w:pPr>
      <w:r>
        <w:rPr>
          <w:rStyle w:val="FootnoteReference"/>
        </w:rPr>
        <w:footnoteRef/>
      </w:r>
      <w:r>
        <w:t xml:space="preserve"> </w:t>
      </w:r>
      <w:r w:rsidRPr="00056D95">
        <w:rPr>
          <w:color w:val="000000"/>
          <w:sz w:val="20"/>
          <w:szCs w:val="20"/>
        </w:rPr>
        <w:t xml:space="preserve">Canada, </w:t>
      </w:r>
      <w:r w:rsidRPr="00056D95">
        <w:rPr>
          <w:i/>
          <w:iCs/>
          <w:color w:val="000000"/>
          <w:sz w:val="20"/>
          <w:szCs w:val="20"/>
        </w:rPr>
        <w:t>Sessional Papers</w:t>
      </w:r>
      <w:r w:rsidRPr="00056D95">
        <w:rPr>
          <w:color w:val="000000"/>
          <w:sz w:val="20"/>
          <w:szCs w:val="20"/>
        </w:rPr>
        <w:t xml:space="preserve">, 31 </w:t>
      </w:r>
      <w:proofErr w:type="gramStart"/>
      <w:r w:rsidRPr="00056D95">
        <w:rPr>
          <w:color w:val="000000"/>
          <w:sz w:val="20"/>
          <w:szCs w:val="20"/>
        </w:rPr>
        <w:t>Dec.,</w:t>
      </w:r>
      <w:proofErr w:type="gramEnd"/>
      <w:r w:rsidRPr="00056D95">
        <w:rPr>
          <w:color w:val="000000"/>
          <w:sz w:val="20"/>
          <w:szCs w:val="20"/>
        </w:rPr>
        <w:t xml:space="preserve"> 1881. Edgar Dewdney’s report 1st Jan.,1882, 3</w:t>
      </w:r>
      <w:r>
        <w:rPr>
          <w:color w:val="000000"/>
          <w:sz w:val="20"/>
          <w:szCs w:val="20"/>
        </w:rPr>
        <w:t xml:space="preserve">7-8. </w:t>
      </w:r>
    </w:p>
  </w:footnote>
  <w:footnote w:id="101">
    <w:p w14:paraId="2302588A" w14:textId="411B00C5" w:rsidR="001360E4" w:rsidRPr="00BA6375" w:rsidRDefault="001360E4" w:rsidP="00BA6375">
      <w:pPr>
        <w:rPr>
          <w:sz w:val="20"/>
          <w:szCs w:val="20"/>
        </w:rPr>
      </w:pPr>
      <w:r w:rsidRPr="00BA6375">
        <w:rPr>
          <w:rStyle w:val="FootnoteReference"/>
          <w:sz w:val="20"/>
          <w:szCs w:val="20"/>
        </w:rPr>
        <w:footnoteRef/>
      </w:r>
      <w:r w:rsidRPr="00BA6375">
        <w:rPr>
          <w:sz w:val="20"/>
          <w:szCs w:val="20"/>
        </w:rPr>
        <w:t xml:space="preserve"> </w:t>
      </w:r>
      <w:r w:rsidRPr="00BA6375">
        <w:rPr>
          <w:color w:val="000000"/>
          <w:sz w:val="20"/>
          <w:szCs w:val="20"/>
        </w:rPr>
        <w:t xml:space="preserve">Canada, </w:t>
      </w:r>
      <w:r w:rsidRPr="00BA6375">
        <w:rPr>
          <w:i/>
          <w:iCs/>
          <w:color w:val="000000"/>
          <w:sz w:val="20"/>
          <w:szCs w:val="20"/>
        </w:rPr>
        <w:t>Sessional Papers</w:t>
      </w:r>
      <w:r w:rsidRPr="00BA6375">
        <w:rPr>
          <w:color w:val="000000"/>
          <w:sz w:val="20"/>
          <w:szCs w:val="20"/>
        </w:rPr>
        <w:t xml:space="preserve">, 31 </w:t>
      </w:r>
      <w:proofErr w:type="gramStart"/>
      <w:r w:rsidRPr="00BA6375">
        <w:rPr>
          <w:color w:val="000000"/>
          <w:sz w:val="20"/>
          <w:szCs w:val="20"/>
        </w:rPr>
        <w:t>Dec.,</w:t>
      </w:r>
      <w:proofErr w:type="gramEnd"/>
      <w:r w:rsidRPr="00BA6375">
        <w:rPr>
          <w:color w:val="000000"/>
          <w:sz w:val="20"/>
          <w:szCs w:val="20"/>
        </w:rPr>
        <w:t xml:space="preserve"> 1881. Edgar Dewdney’s report 1st Jan.,1882, 44-9; Canada, </w:t>
      </w:r>
      <w:r w:rsidRPr="00BA6375">
        <w:rPr>
          <w:i/>
          <w:iCs/>
          <w:color w:val="000000"/>
          <w:sz w:val="20"/>
          <w:szCs w:val="20"/>
        </w:rPr>
        <w:t>Sessional Papers</w:t>
      </w:r>
      <w:r w:rsidRPr="00BA6375">
        <w:rPr>
          <w:color w:val="000000"/>
          <w:sz w:val="20"/>
          <w:szCs w:val="20"/>
        </w:rPr>
        <w:t xml:space="preserve">, Annual Report of the Department of Indian Affairs for the year ended 31 </w:t>
      </w:r>
      <w:proofErr w:type="gramStart"/>
      <w:r w:rsidRPr="00BA6375">
        <w:rPr>
          <w:color w:val="000000"/>
          <w:sz w:val="20"/>
          <w:szCs w:val="20"/>
        </w:rPr>
        <w:t>Dec.,</w:t>
      </w:r>
      <w:proofErr w:type="gramEnd"/>
      <w:r w:rsidRPr="00BA6375">
        <w:rPr>
          <w:color w:val="000000"/>
          <w:sz w:val="20"/>
          <w:szCs w:val="20"/>
        </w:rPr>
        <w:t xml:space="preserve"> 1881, Table of Number of Indians in the North-West Territories and Whereabouts, 56.</w:t>
      </w:r>
    </w:p>
  </w:footnote>
  <w:footnote w:id="102">
    <w:p w14:paraId="25813A0F" w14:textId="22461261" w:rsidR="00BA6375" w:rsidRDefault="00BA6375">
      <w:pPr>
        <w:pStyle w:val="FootnoteText"/>
      </w:pPr>
      <w:r>
        <w:rPr>
          <w:rStyle w:val="FootnoteReference"/>
        </w:rPr>
        <w:footnoteRef/>
      </w:r>
      <w:r>
        <w:t xml:space="preserve"> Canada, </w:t>
      </w:r>
      <w:r w:rsidRPr="00BA6375">
        <w:rPr>
          <w:i/>
          <w:iCs/>
        </w:rPr>
        <w:t>Sessional Papers</w:t>
      </w:r>
      <w:r>
        <w:t xml:space="preserve">, Annual Report of the Department of Indian Affairs for the year ended 31 </w:t>
      </w:r>
      <w:proofErr w:type="gramStart"/>
      <w:r>
        <w:t>Dec.,</w:t>
      </w:r>
      <w:proofErr w:type="gramEnd"/>
      <w:r>
        <w:t xml:space="preserve"> 1881, no report on treaty 4 from Indian Agent Macdonald, 72</w:t>
      </w:r>
    </w:p>
  </w:footnote>
  <w:footnote w:id="103">
    <w:p w14:paraId="67B9CCF8" w14:textId="04A8E7E2" w:rsidR="001360E4" w:rsidRPr="00BA6375" w:rsidRDefault="001360E4" w:rsidP="00BA6375">
      <w:pPr>
        <w:pStyle w:val="FootnoteText"/>
      </w:pPr>
      <w:r w:rsidRPr="00BA6375">
        <w:rPr>
          <w:rStyle w:val="FootnoteReference"/>
        </w:rPr>
        <w:footnoteRef/>
      </w:r>
      <w:r w:rsidRPr="00BA6375">
        <w:t xml:space="preserve"> </w:t>
      </w:r>
      <w:r w:rsidRPr="00BA6375">
        <w:rPr>
          <w:color w:val="000000"/>
        </w:rPr>
        <w:t xml:space="preserve">Canada, </w:t>
      </w:r>
      <w:r w:rsidRPr="00BA6375">
        <w:rPr>
          <w:i/>
          <w:iCs/>
          <w:color w:val="000000"/>
        </w:rPr>
        <w:t>Sessional Papers</w:t>
      </w:r>
      <w:r w:rsidRPr="00BA6375">
        <w:rPr>
          <w:color w:val="000000"/>
        </w:rPr>
        <w:t xml:space="preserve">, Annual Report of the Department of Indian Affairs for the year ended 31 </w:t>
      </w:r>
      <w:proofErr w:type="gramStart"/>
      <w:r w:rsidRPr="00BA6375">
        <w:rPr>
          <w:color w:val="000000"/>
        </w:rPr>
        <w:t>Dec.,</w:t>
      </w:r>
      <w:proofErr w:type="gramEnd"/>
      <w:r w:rsidRPr="00BA6375">
        <w:rPr>
          <w:color w:val="000000"/>
        </w:rPr>
        <w:t xml:space="preserve"> 1881, Table A. Indians of Manitoba and North-West- annuities under treaty, 113.</w:t>
      </w:r>
    </w:p>
  </w:footnote>
  <w:footnote w:id="104">
    <w:p w14:paraId="78BE024A" w14:textId="0499BC3B" w:rsidR="001360E4" w:rsidRPr="00BA6375" w:rsidRDefault="001360E4" w:rsidP="00BA6375">
      <w:pPr>
        <w:pStyle w:val="FootnoteText"/>
      </w:pPr>
      <w:r w:rsidRPr="00BA6375">
        <w:rPr>
          <w:rStyle w:val="FootnoteReference"/>
        </w:rPr>
        <w:footnoteRef/>
      </w:r>
      <w:r w:rsidRPr="00BA6375">
        <w:t xml:space="preserve"> </w:t>
      </w:r>
      <w:r w:rsidRPr="00BA6375">
        <w:rPr>
          <w:color w:val="000000"/>
        </w:rPr>
        <w:t xml:space="preserve">Canada, </w:t>
      </w:r>
      <w:r w:rsidRPr="00BA6375">
        <w:rPr>
          <w:i/>
          <w:iCs/>
          <w:color w:val="000000"/>
        </w:rPr>
        <w:t>Sessional Papers</w:t>
      </w:r>
      <w:r w:rsidRPr="00BA6375">
        <w:rPr>
          <w:color w:val="000000"/>
        </w:rPr>
        <w:t xml:space="preserve">, Annual Report of the Department of Indian Affairs for the year ended 31 </w:t>
      </w:r>
      <w:proofErr w:type="gramStart"/>
      <w:r w:rsidRPr="00BA6375">
        <w:rPr>
          <w:color w:val="000000"/>
        </w:rPr>
        <w:t>Dec.,</w:t>
      </w:r>
      <w:proofErr w:type="gramEnd"/>
      <w:r w:rsidRPr="00BA6375">
        <w:rPr>
          <w:color w:val="000000"/>
        </w:rPr>
        <w:t xml:space="preserve"> 1881, Table B. Agricultural Implements and Cattle.</w:t>
      </w:r>
    </w:p>
  </w:footnote>
  <w:footnote w:id="105">
    <w:p w14:paraId="24402FEC" w14:textId="77777777" w:rsidR="00BA6375" w:rsidRPr="00BA6375" w:rsidRDefault="00BA6375" w:rsidP="00BA6375">
      <w:pPr>
        <w:pStyle w:val="NormalWeb"/>
        <w:spacing w:before="240" w:beforeAutospacing="0" w:after="240" w:afterAutospacing="0"/>
        <w:rPr>
          <w:color w:val="000000"/>
          <w:sz w:val="20"/>
          <w:szCs w:val="20"/>
        </w:rPr>
      </w:pPr>
      <w:r>
        <w:rPr>
          <w:rStyle w:val="FootnoteReference"/>
        </w:rPr>
        <w:footnoteRef/>
      </w:r>
      <w:r>
        <w:t xml:space="preserve"> </w:t>
      </w:r>
      <w:r w:rsidRPr="00BA6375">
        <w:rPr>
          <w:color w:val="000000"/>
          <w:sz w:val="20"/>
          <w:szCs w:val="20"/>
        </w:rPr>
        <w:t>Canada</w:t>
      </w:r>
      <w:r>
        <w:rPr>
          <w:i/>
          <w:iCs/>
          <w:color w:val="000000"/>
          <w:sz w:val="20"/>
          <w:szCs w:val="20"/>
        </w:rPr>
        <w:t xml:space="preserve">, </w:t>
      </w:r>
      <w:r w:rsidRPr="00BA6375">
        <w:rPr>
          <w:i/>
          <w:iCs/>
          <w:color w:val="000000"/>
          <w:sz w:val="20"/>
          <w:szCs w:val="20"/>
        </w:rPr>
        <w:t>Sessional Papers,</w:t>
      </w:r>
      <w:r w:rsidRPr="00BA6375">
        <w:rPr>
          <w:color w:val="000000"/>
          <w:sz w:val="20"/>
          <w:szCs w:val="20"/>
        </w:rPr>
        <w:t xml:space="preserve"> Annual Report of the Department of Indian Affairs for the year ended 31 Dec., 1882,  Table B Indians of Manitoba and North-West – implements, Table C Indians of Manitoba and North-West - implements Treaty 4,Table D Indians of Manitoba and North-West - cattle and Table F Indians of Manitoba and North-West – expenditures, 126.</w:t>
      </w:r>
    </w:p>
    <w:p w14:paraId="5C2D5375" w14:textId="4D7B34D8" w:rsidR="00BA6375" w:rsidRDefault="00BA6375">
      <w:pPr>
        <w:pStyle w:val="FootnoteText"/>
      </w:pPr>
    </w:p>
  </w:footnote>
  <w:footnote w:id="106">
    <w:p w14:paraId="44F3E4F4" w14:textId="685944D3" w:rsidR="001360E4" w:rsidRPr="001360E4" w:rsidRDefault="001360E4" w:rsidP="001360E4">
      <w:pPr>
        <w:rPr>
          <w:sz w:val="20"/>
          <w:szCs w:val="20"/>
        </w:rPr>
      </w:pPr>
      <w:r w:rsidRPr="001360E4">
        <w:rPr>
          <w:rStyle w:val="FootnoteReference"/>
          <w:sz w:val="20"/>
          <w:szCs w:val="20"/>
        </w:rPr>
        <w:footnoteRef/>
      </w:r>
      <w:r w:rsidRPr="001360E4">
        <w:rPr>
          <w:sz w:val="20"/>
          <w:szCs w:val="20"/>
        </w:rPr>
        <w:t xml:space="preserve"> </w:t>
      </w:r>
      <w:r w:rsidRPr="00CE7D4F">
        <w:rPr>
          <w:sz w:val="20"/>
          <w:szCs w:val="20"/>
        </w:rPr>
        <w:t>Morin, "Perceptions of Implementation,”</w:t>
      </w:r>
      <w:r w:rsidRPr="001360E4">
        <w:rPr>
          <w:sz w:val="20"/>
          <w:szCs w:val="20"/>
        </w:rPr>
        <w:t xml:space="preserve"> 133</w:t>
      </w:r>
      <w:r>
        <w:rPr>
          <w:sz w:val="20"/>
          <w:szCs w:val="20"/>
        </w:rPr>
        <w:t>;</w:t>
      </w:r>
      <w:r w:rsidRPr="001360E4">
        <w:rPr>
          <w:sz w:val="20"/>
          <w:szCs w:val="20"/>
        </w:rPr>
        <w:t xml:space="preserve"> </w:t>
      </w:r>
      <w:r w:rsidRPr="001360E4">
        <w:rPr>
          <w:color w:val="000000"/>
          <w:sz w:val="20"/>
          <w:szCs w:val="20"/>
        </w:rPr>
        <w:t>LAC, RG 10 v. 3768, f. 33642, Extracts and typescript of the Fort Qu’Appelle Treaty Four meeting, “Reports of the Different Councils which His Excellency the Governor General Held with the Indians While in the Northwest Territories, 1881. </w:t>
      </w:r>
    </w:p>
  </w:footnote>
  <w:footnote w:id="107">
    <w:p w14:paraId="7B68959B" w14:textId="7100AC76" w:rsidR="001360E4" w:rsidRDefault="001360E4">
      <w:pPr>
        <w:pStyle w:val="FootnoteText"/>
      </w:pPr>
      <w:r>
        <w:rPr>
          <w:rStyle w:val="FootnoteReference"/>
        </w:rPr>
        <w:footnoteRef/>
      </w:r>
      <w:r>
        <w:t xml:space="preserve"> </w:t>
      </w:r>
      <w:r w:rsidRPr="001360E4">
        <w:rPr>
          <w:color w:val="000000"/>
        </w:rPr>
        <w:t>LAC, RG 10 v. 3768, f. 33642, Extracts and typescript of the Fort Qu’Appelle Treaty Four meeting</w:t>
      </w:r>
      <w:r>
        <w:rPr>
          <w:color w:val="000000"/>
        </w:rPr>
        <w:t xml:space="preserve">. </w:t>
      </w:r>
    </w:p>
  </w:footnote>
  <w:footnote w:id="108">
    <w:p w14:paraId="04A649E1" w14:textId="58FCF8CC" w:rsidR="001360E4" w:rsidRDefault="001360E4">
      <w:pPr>
        <w:pStyle w:val="FootnoteText"/>
      </w:pPr>
      <w:r>
        <w:rPr>
          <w:rStyle w:val="FootnoteReference"/>
        </w:rPr>
        <w:footnoteRef/>
      </w:r>
      <w:r>
        <w:t xml:space="preserve"> </w:t>
      </w:r>
      <w:r w:rsidRPr="00056D95">
        <w:rPr>
          <w:color w:val="000000"/>
        </w:rPr>
        <w:t xml:space="preserve">Canada, </w:t>
      </w:r>
      <w:r w:rsidRPr="00056D95">
        <w:rPr>
          <w:i/>
          <w:iCs/>
          <w:color w:val="000000"/>
        </w:rPr>
        <w:t>Sessional Papers</w:t>
      </w:r>
      <w:r w:rsidRPr="00056D95">
        <w:rPr>
          <w:color w:val="000000"/>
        </w:rPr>
        <w:t xml:space="preserve">, 31 </w:t>
      </w:r>
      <w:proofErr w:type="gramStart"/>
      <w:r w:rsidRPr="00056D95">
        <w:rPr>
          <w:color w:val="000000"/>
        </w:rPr>
        <w:t>Dec.,</w:t>
      </w:r>
      <w:proofErr w:type="gramEnd"/>
      <w:r w:rsidRPr="00056D95">
        <w:rPr>
          <w:color w:val="000000"/>
        </w:rPr>
        <w:t xml:space="preserve"> 1881. Edgar Dewdney’s report 1st Jan.,1882, </w:t>
      </w:r>
      <w:r>
        <w:rPr>
          <w:color w:val="000000"/>
        </w:rPr>
        <w:t>41.</w:t>
      </w:r>
    </w:p>
  </w:footnote>
  <w:footnote w:id="109">
    <w:p w14:paraId="795B781B" w14:textId="31AF837F" w:rsidR="001360E4" w:rsidRPr="001360E4" w:rsidRDefault="001360E4" w:rsidP="001360E4">
      <w:pPr>
        <w:rPr>
          <w:sz w:val="20"/>
          <w:szCs w:val="20"/>
        </w:rPr>
      </w:pPr>
      <w:r>
        <w:rPr>
          <w:rStyle w:val="FootnoteReference"/>
        </w:rPr>
        <w:footnoteRef/>
      </w:r>
      <w:r>
        <w:t xml:space="preserve"> </w:t>
      </w:r>
      <w:r w:rsidRPr="001360E4">
        <w:rPr>
          <w:color w:val="000000"/>
          <w:sz w:val="20"/>
          <w:szCs w:val="20"/>
        </w:rPr>
        <w:t>Canada</w:t>
      </w:r>
      <w:r>
        <w:rPr>
          <w:color w:val="000000"/>
          <w:sz w:val="20"/>
          <w:szCs w:val="20"/>
        </w:rPr>
        <w:t>,</w:t>
      </w:r>
      <w:r w:rsidRPr="001360E4">
        <w:rPr>
          <w:color w:val="000000"/>
          <w:sz w:val="20"/>
          <w:szCs w:val="20"/>
        </w:rPr>
        <w:t xml:space="preserve"> </w:t>
      </w:r>
      <w:r w:rsidRPr="001360E4">
        <w:rPr>
          <w:i/>
          <w:iCs/>
          <w:color w:val="000000"/>
          <w:sz w:val="20"/>
          <w:szCs w:val="20"/>
        </w:rPr>
        <w:t>Sessional Papers,</w:t>
      </w:r>
      <w:r w:rsidRPr="001360E4">
        <w:rPr>
          <w:color w:val="000000"/>
          <w:sz w:val="20"/>
          <w:szCs w:val="20"/>
        </w:rPr>
        <w:t xml:space="preserve"> Annual Report of the Department of Indian Affairs for the year ended 31 </w:t>
      </w:r>
      <w:proofErr w:type="gramStart"/>
      <w:r w:rsidRPr="001360E4">
        <w:rPr>
          <w:color w:val="000000"/>
          <w:sz w:val="20"/>
          <w:szCs w:val="20"/>
        </w:rPr>
        <w:t>Dec.</w:t>
      </w:r>
      <w:r>
        <w:rPr>
          <w:color w:val="000000"/>
          <w:sz w:val="20"/>
          <w:szCs w:val="20"/>
        </w:rPr>
        <w:t>,</w:t>
      </w:r>
      <w:proofErr w:type="gramEnd"/>
      <w:r w:rsidRPr="001360E4">
        <w:rPr>
          <w:color w:val="000000"/>
          <w:sz w:val="20"/>
          <w:szCs w:val="20"/>
        </w:rPr>
        <w:t xml:space="preserve"> 1882, Extract from the report of E. Dewdney on </w:t>
      </w:r>
      <w:proofErr w:type="spellStart"/>
      <w:r w:rsidRPr="001360E4">
        <w:rPr>
          <w:color w:val="000000"/>
          <w:sz w:val="20"/>
          <w:szCs w:val="20"/>
        </w:rPr>
        <w:t>Pasquah</w:t>
      </w:r>
      <w:proofErr w:type="spellEnd"/>
      <w:r w:rsidRPr="001360E4">
        <w:rPr>
          <w:color w:val="000000"/>
          <w:sz w:val="20"/>
          <w:szCs w:val="20"/>
        </w:rPr>
        <w:t xml:space="preserve">, 198. </w:t>
      </w:r>
    </w:p>
  </w:footnote>
  <w:footnote w:id="110">
    <w:p w14:paraId="4EC94CB0" w14:textId="588FB71F" w:rsidR="006274E2" w:rsidRPr="006274E2" w:rsidRDefault="006274E2" w:rsidP="006274E2">
      <w:pPr>
        <w:pStyle w:val="NormalWeb"/>
        <w:rPr>
          <w:rFonts w:ascii="-webkit-standard" w:hAnsi="-webkit-standard"/>
          <w:color w:val="000000"/>
          <w:sz w:val="20"/>
          <w:szCs w:val="20"/>
        </w:rPr>
      </w:pPr>
      <w:r w:rsidRPr="001360E4">
        <w:rPr>
          <w:rStyle w:val="FootnoteReference"/>
          <w:sz w:val="20"/>
          <w:szCs w:val="20"/>
        </w:rPr>
        <w:footnoteRef/>
      </w:r>
      <w:r w:rsidRPr="001360E4">
        <w:rPr>
          <w:sz w:val="20"/>
          <w:szCs w:val="20"/>
        </w:rPr>
        <w:t xml:space="preserve"> </w:t>
      </w:r>
      <w:r w:rsidRPr="006274E2">
        <w:rPr>
          <w:color w:val="000000"/>
          <w:sz w:val="20"/>
          <w:szCs w:val="20"/>
        </w:rPr>
        <w:t xml:space="preserve">Canada, </w:t>
      </w:r>
      <w:r w:rsidRPr="006274E2">
        <w:rPr>
          <w:i/>
          <w:iCs/>
          <w:color w:val="000000"/>
          <w:sz w:val="20"/>
          <w:szCs w:val="20"/>
        </w:rPr>
        <w:t xml:space="preserve">Sessional Papers, </w:t>
      </w:r>
      <w:r w:rsidRPr="006274E2">
        <w:rPr>
          <w:color w:val="000000"/>
          <w:sz w:val="20"/>
          <w:szCs w:val="20"/>
        </w:rPr>
        <w:t xml:space="preserve">Annual Report of the Department of Indian Affairs for the year ended 31 </w:t>
      </w:r>
      <w:proofErr w:type="gramStart"/>
      <w:r w:rsidRPr="006274E2">
        <w:rPr>
          <w:color w:val="000000"/>
          <w:sz w:val="20"/>
          <w:szCs w:val="20"/>
        </w:rPr>
        <w:t>Dec.,</w:t>
      </w:r>
      <w:proofErr w:type="gramEnd"/>
      <w:r w:rsidRPr="006274E2">
        <w:rPr>
          <w:color w:val="000000"/>
          <w:sz w:val="20"/>
          <w:szCs w:val="20"/>
        </w:rPr>
        <w:t xml:space="preserve"> 1882, Extract from letter by T.P. Wadsworth to the Superintendent General of Indian Affairs, 9 Dec., 1882, </w:t>
      </w:r>
      <w:r w:rsidRPr="006274E2">
        <w:rPr>
          <w:sz w:val="20"/>
          <w:szCs w:val="20"/>
        </w:rPr>
        <w:t xml:space="preserve">189-90; </w:t>
      </w:r>
      <w:r w:rsidRPr="006274E2">
        <w:rPr>
          <w:color w:val="000000"/>
          <w:sz w:val="20"/>
          <w:szCs w:val="20"/>
        </w:rPr>
        <w:t>“Sacred Spaces.” Accessed December 10, 2020.</w:t>
      </w:r>
      <w:r w:rsidRPr="006274E2">
        <w:rPr>
          <w:rFonts w:ascii="-webkit-standard" w:hAnsi="-webkit-standard"/>
          <w:color w:val="000000"/>
          <w:sz w:val="20"/>
          <w:szCs w:val="20"/>
        </w:rPr>
        <w:t xml:space="preserve"> </w:t>
      </w:r>
    </w:p>
  </w:footnote>
  <w:footnote w:id="111">
    <w:p w14:paraId="0DA25234" w14:textId="075D4E0C" w:rsidR="001360E4" w:rsidRPr="006274E2" w:rsidRDefault="001360E4" w:rsidP="006274E2">
      <w:pPr>
        <w:rPr>
          <w:sz w:val="20"/>
          <w:szCs w:val="20"/>
        </w:rPr>
      </w:pPr>
      <w:r w:rsidRPr="006274E2">
        <w:rPr>
          <w:rStyle w:val="FootnoteReference"/>
          <w:sz w:val="20"/>
          <w:szCs w:val="20"/>
        </w:rPr>
        <w:footnoteRef/>
      </w:r>
      <w:r w:rsidRPr="006274E2">
        <w:rPr>
          <w:sz w:val="20"/>
          <w:szCs w:val="20"/>
        </w:rPr>
        <w:t xml:space="preserve"> </w:t>
      </w:r>
      <w:r w:rsidRPr="006274E2">
        <w:rPr>
          <w:color w:val="000000"/>
          <w:sz w:val="20"/>
          <w:szCs w:val="20"/>
        </w:rPr>
        <w:t xml:space="preserve">Canada, </w:t>
      </w:r>
      <w:r w:rsidRPr="006274E2">
        <w:rPr>
          <w:i/>
          <w:iCs/>
          <w:color w:val="000000"/>
          <w:sz w:val="20"/>
          <w:szCs w:val="20"/>
        </w:rPr>
        <w:t xml:space="preserve">Sessional </w:t>
      </w:r>
      <w:r w:rsidR="006274E2" w:rsidRPr="006274E2">
        <w:rPr>
          <w:i/>
          <w:iCs/>
          <w:color w:val="000000"/>
          <w:sz w:val="20"/>
          <w:szCs w:val="20"/>
        </w:rPr>
        <w:t xml:space="preserve">Papers, </w:t>
      </w:r>
      <w:r w:rsidRPr="006274E2">
        <w:rPr>
          <w:color w:val="000000"/>
          <w:sz w:val="20"/>
          <w:szCs w:val="20"/>
        </w:rPr>
        <w:t xml:space="preserve">31 </w:t>
      </w:r>
      <w:proofErr w:type="gramStart"/>
      <w:r w:rsidRPr="006274E2">
        <w:rPr>
          <w:color w:val="000000"/>
          <w:sz w:val="20"/>
          <w:szCs w:val="20"/>
        </w:rPr>
        <w:t>Dec.,</w:t>
      </w:r>
      <w:proofErr w:type="gramEnd"/>
      <w:r w:rsidRPr="006274E2">
        <w:rPr>
          <w:color w:val="000000"/>
          <w:sz w:val="20"/>
          <w:szCs w:val="20"/>
        </w:rPr>
        <w:t xml:space="preserve"> 1882, Extract from letter by T.P. Wadsworth</w:t>
      </w:r>
      <w:r w:rsidR="006274E2" w:rsidRPr="006274E2">
        <w:rPr>
          <w:color w:val="000000"/>
          <w:sz w:val="20"/>
          <w:szCs w:val="20"/>
        </w:rPr>
        <w:t xml:space="preserve">, </w:t>
      </w:r>
      <w:r w:rsidRPr="006274E2">
        <w:rPr>
          <w:color w:val="000000"/>
          <w:sz w:val="20"/>
          <w:szCs w:val="20"/>
        </w:rPr>
        <w:t xml:space="preserve">9 Dec., 1882, </w:t>
      </w:r>
      <w:r w:rsidRPr="006274E2">
        <w:rPr>
          <w:sz w:val="20"/>
          <w:szCs w:val="20"/>
        </w:rPr>
        <w:t>189-90.</w:t>
      </w:r>
    </w:p>
  </w:footnote>
  <w:footnote w:id="112">
    <w:p w14:paraId="0D1D83AA" w14:textId="7FA3614C" w:rsidR="001360E4" w:rsidRPr="006274E2" w:rsidRDefault="001360E4" w:rsidP="006274E2">
      <w:pPr>
        <w:pStyle w:val="FootnoteText"/>
      </w:pPr>
      <w:r w:rsidRPr="006274E2">
        <w:rPr>
          <w:rStyle w:val="FootnoteReference"/>
        </w:rPr>
        <w:footnoteRef/>
      </w:r>
      <w:r w:rsidRPr="006274E2">
        <w:t xml:space="preserve"> </w:t>
      </w:r>
      <w:r w:rsidRPr="006274E2">
        <w:rPr>
          <w:color w:val="000000"/>
        </w:rPr>
        <w:t xml:space="preserve">Canada, </w:t>
      </w:r>
      <w:r w:rsidRPr="006274E2">
        <w:rPr>
          <w:i/>
          <w:iCs/>
          <w:color w:val="000000"/>
        </w:rPr>
        <w:t xml:space="preserve">Sessional Papers, </w:t>
      </w:r>
      <w:r w:rsidRPr="006274E2">
        <w:rPr>
          <w:color w:val="000000"/>
        </w:rPr>
        <w:t xml:space="preserve">Annual Report of the Department of Indian Affairs for the year ended 31 </w:t>
      </w:r>
      <w:proofErr w:type="gramStart"/>
      <w:r w:rsidRPr="006274E2">
        <w:rPr>
          <w:color w:val="000000"/>
        </w:rPr>
        <w:t>Dec.,</w:t>
      </w:r>
      <w:proofErr w:type="gramEnd"/>
      <w:r w:rsidRPr="006274E2">
        <w:rPr>
          <w:color w:val="000000"/>
        </w:rPr>
        <w:t xml:space="preserve"> 1882, A. Macdonald report 9 May, 1881, 205. </w:t>
      </w:r>
    </w:p>
  </w:footnote>
  <w:footnote w:id="113">
    <w:p w14:paraId="1BAC1A12" w14:textId="0E0346C6" w:rsidR="001360E4" w:rsidRPr="006274E2" w:rsidRDefault="001360E4" w:rsidP="006274E2">
      <w:pPr>
        <w:pStyle w:val="FootnoteText"/>
      </w:pPr>
      <w:r w:rsidRPr="006274E2">
        <w:rPr>
          <w:rStyle w:val="FootnoteReference"/>
        </w:rPr>
        <w:footnoteRef/>
      </w:r>
      <w:r w:rsidRPr="006274E2">
        <w:t xml:space="preserve"> </w:t>
      </w:r>
      <w:r w:rsidRPr="006274E2">
        <w:rPr>
          <w:color w:val="000000"/>
        </w:rPr>
        <w:t xml:space="preserve">Canada, </w:t>
      </w:r>
      <w:r w:rsidRPr="006274E2">
        <w:rPr>
          <w:i/>
          <w:iCs/>
          <w:color w:val="000000"/>
        </w:rPr>
        <w:t xml:space="preserve">Sessional Papers, </w:t>
      </w:r>
      <w:r w:rsidRPr="006274E2">
        <w:rPr>
          <w:color w:val="000000"/>
        </w:rPr>
        <w:t xml:space="preserve">Annual Report of the Department of Indian Affairs for the year ended 31 </w:t>
      </w:r>
      <w:proofErr w:type="gramStart"/>
      <w:r w:rsidRPr="006274E2">
        <w:rPr>
          <w:color w:val="000000"/>
        </w:rPr>
        <w:t>Dec.,</w:t>
      </w:r>
      <w:proofErr w:type="gramEnd"/>
      <w:r w:rsidRPr="006274E2">
        <w:rPr>
          <w:color w:val="000000"/>
        </w:rPr>
        <w:t xml:space="preserve"> 1882, A. Macdonald report 28 Dec., 1882, 260.</w:t>
      </w:r>
    </w:p>
  </w:footnote>
  <w:footnote w:id="114">
    <w:p w14:paraId="40EC5B0E" w14:textId="679C9FDE" w:rsidR="001360E4" w:rsidRPr="001360E4" w:rsidRDefault="001360E4" w:rsidP="006274E2">
      <w:pPr>
        <w:pStyle w:val="FootnoteText"/>
      </w:pPr>
      <w:r w:rsidRPr="001360E4">
        <w:rPr>
          <w:rStyle w:val="FootnoteReference"/>
        </w:rPr>
        <w:footnoteRef/>
      </w:r>
      <w:r w:rsidRPr="001360E4">
        <w:t xml:space="preserve"> </w:t>
      </w:r>
      <w:r w:rsidRPr="001360E4">
        <w:rPr>
          <w:color w:val="000000"/>
        </w:rPr>
        <w:t xml:space="preserve">Canada, </w:t>
      </w:r>
      <w:r w:rsidRPr="001360E4">
        <w:rPr>
          <w:i/>
          <w:iCs/>
          <w:color w:val="000000"/>
        </w:rPr>
        <w:t>Sessional Papers</w:t>
      </w:r>
      <w:r w:rsidRPr="001360E4">
        <w:rPr>
          <w:color w:val="000000"/>
        </w:rPr>
        <w:t xml:space="preserve"> 31 </w:t>
      </w:r>
      <w:proofErr w:type="gramStart"/>
      <w:r w:rsidRPr="001360E4">
        <w:rPr>
          <w:color w:val="000000"/>
        </w:rPr>
        <w:t>Dec.,</w:t>
      </w:r>
      <w:proofErr w:type="gramEnd"/>
      <w:r w:rsidRPr="001360E4">
        <w:rPr>
          <w:color w:val="000000"/>
        </w:rPr>
        <w:t xml:space="preserve"> 1882, A. Macdonald report 9 May, 1881, 205.</w:t>
      </w:r>
    </w:p>
  </w:footnote>
  <w:footnote w:id="115">
    <w:p w14:paraId="1A77D15C" w14:textId="2AE40FDB" w:rsidR="001360E4" w:rsidRPr="001360E4" w:rsidRDefault="001360E4">
      <w:pPr>
        <w:pStyle w:val="FootnoteText"/>
      </w:pPr>
      <w:r w:rsidRPr="001360E4">
        <w:rPr>
          <w:rStyle w:val="FootnoteReference"/>
        </w:rPr>
        <w:footnoteRef/>
      </w:r>
      <w:r w:rsidRPr="001360E4">
        <w:t xml:space="preserve"> </w:t>
      </w:r>
      <w:r w:rsidRPr="001360E4">
        <w:rPr>
          <w:color w:val="000000"/>
        </w:rPr>
        <w:t xml:space="preserve">Canada, </w:t>
      </w:r>
      <w:r w:rsidRPr="001360E4">
        <w:rPr>
          <w:i/>
          <w:iCs/>
          <w:color w:val="000000"/>
        </w:rPr>
        <w:t xml:space="preserve">Sessional Papers, </w:t>
      </w:r>
      <w:r w:rsidRPr="001360E4">
        <w:rPr>
          <w:color w:val="000000"/>
        </w:rPr>
        <w:t xml:space="preserve">Annual Report of the Department of Indian Affairs for the year ended 31 </w:t>
      </w:r>
      <w:proofErr w:type="gramStart"/>
      <w:r w:rsidRPr="001360E4">
        <w:rPr>
          <w:color w:val="000000"/>
        </w:rPr>
        <w:t>Dec.,</w:t>
      </w:r>
      <w:proofErr w:type="gramEnd"/>
      <w:r w:rsidRPr="001360E4">
        <w:rPr>
          <w:color w:val="000000"/>
        </w:rPr>
        <w:t xml:space="preserve"> 1882, Table of Number of Indians in the North-West Territories and their whereabouts, 201.</w:t>
      </w:r>
    </w:p>
  </w:footnote>
  <w:footnote w:id="116">
    <w:p w14:paraId="59853C59" w14:textId="29C39D80" w:rsidR="001360E4" w:rsidRPr="001360E4" w:rsidRDefault="001360E4">
      <w:pPr>
        <w:pStyle w:val="FootnoteText"/>
      </w:pPr>
      <w:r w:rsidRPr="001360E4">
        <w:rPr>
          <w:rStyle w:val="FootnoteReference"/>
        </w:rPr>
        <w:footnoteRef/>
      </w:r>
      <w:r w:rsidRPr="001360E4">
        <w:t xml:space="preserve"> </w:t>
      </w:r>
      <w:r w:rsidRPr="001360E4">
        <w:rPr>
          <w:color w:val="000000"/>
        </w:rPr>
        <w:t xml:space="preserve">Canada, </w:t>
      </w:r>
      <w:r w:rsidRPr="001360E4">
        <w:rPr>
          <w:i/>
          <w:iCs/>
          <w:color w:val="000000"/>
        </w:rPr>
        <w:t xml:space="preserve">Sessional Papers, </w:t>
      </w:r>
      <w:r w:rsidRPr="001360E4">
        <w:rPr>
          <w:color w:val="000000"/>
        </w:rPr>
        <w:t xml:space="preserve">Annual Report of the Department of Indian Affairs for the year ended 31 </w:t>
      </w:r>
      <w:proofErr w:type="gramStart"/>
      <w:r w:rsidRPr="001360E4">
        <w:rPr>
          <w:color w:val="000000"/>
        </w:rPr>
        <w:t>Dec.,</w:t>
      </w:r>
      <w:proofErr w:type="gramEnd"/>
      <w:r w:rsidRPr="001360E4">
        <w:rPr>
          <w:color w:val="000000"/>
        </w:rPr>
        <w:t xml:space="preserve"> 1882, Table of Faming Agencies and Indian Reservations Statistics, 271. </w:t>
      </w:r>
    </w:p>
  </w:footnote>
  <w:footnote w:id="117">
    <w:p w14:paraId="7753E693" w14:textId="48A0CAE6" w:rsidR="001360E4" w:rsidRPr="001360E4" w:rsidRDefault="001360E4">
      <w:pPr>
        <w:pStyle w:val="FootnoteText"/>
      </w:pPr>
      <w:r w:rsidRPr="001360E4">
        <w:rPr>
          <w:rStyle w:val="FootnoteReference"/>
        </w:rPr>
        <w:footnoteRef/>
      </w:r>
      <w:r w:rsidRPr="001360E4">
        <w:t xml:space="preserve"> </w:t>
      </w:r>
      <w:r w:rsidRPr="001360E4">
        <w:rPr>
          <w:color w:val="000000"/>
        </w:rPr>
        <w:t xml:space="preserve">Canada, </w:t>
      </w:r>
      <w:r w:rsidRPr="001360E4">
        <w:rPr>
          <w:i/>
          <w:iCs/>
          <w:color w:val="000000"/>
        </w:rPr>
        <w:t xml:space="preserve">Sessional Papers, </w:t>
      </w:r>
      <w:r w:rsidRPr="001360E4">
        <w:rPr>
          <w:color w:val="000000"/>
        </w:rPr>
        <w:t xml:space="preserve">Annual Report of the Department of Indian Affairs for the year ended 31 </w:t>
      </w:r>
      <w:proofErr w:type="gramStart"/>
      <w:r w:rsidRPr="001360E4">
        <w:rPr>
          <w:color w:val="000000"/>
        </w:rPr>
        <w:t>Dec.,</w:t>
      </w:r>
      <w:proofErr w:type="gramEnd"/>
      <w:r w:rsidRPr="001360E4">
        <w:rPr>
          <w:color w:val="000000"/>
        </w:rPr>
        <w:t xml:space="preserve"> 1882, A. Macdonald report 9 May, 1881, 205. </w:t>
      </w:r>
    </w:p>
  </w:footnote>
  <w:footnote w:id="118">
    <w:p w14:paraId="3207E7E5" w14:textId="65B3D470" w:rsidR="001360E4" w:rsidRPr="001360E4" w:rsidRDefault="001360E4" w:rsidP="001360E4">
      <w:pPr>
        <w:rPr>
          <w:sz w:val="20"/>
          <w:szCs w:val="20"/>
        </w:rPr>
      </w:pPr>
      <w:r w:rsidRPr="001360E4">
        <w:rPr>
          <w:rStyle w:val="FootnoteReference"/>
          <w:sz w:val="20"/>
          <w:szCs w:val="20"/>
        </w:rPr>
        <w:footnoteRef/>
      </w:r>
      <w:r w:rsidRPr="001360E4">
        <w:rPr>
          <w:sz w:val="20"/>
          <w:szCs w:val="20"/>
        </w:rPr>
        <w:t xml:space="preserve"> </w:t>
      </w:r>
      <w:r w:rsidRPr="001360E4">
        <w:rPr>
          <w:color w:val="000000"/>
          <w:sz w:val="20"/>
          <w:szCs w:val="20"/>
        </w:rPr>
        <w:t xml:space="preserve">Canada, </w:t>
      </w:r>
      <w:r w:rsidRPr="001360E4">
        <w:rPr>
          <w:i/>
          <w:iCs/>
          <w:color w:val="000000"/>
          <w:sz w:val="20"/>
          <w:szCs w:val="20"/>
        </w:rPr>
        <w:t xml:space="preserve">Sessional Papers, </w:t>
      </w:r>
      <w:r w:rsidRPr="001360E4">
        <w:rPr>
          <w:color w:val="000000"/>
          <w:sz w:val="20"/>
          <w:szCs w:val="20"/>
        </w:rPr>
        <w:t xml:space="preserve">31 </w:t>
      </w:r>
      <w:proofErr w:type="gramStart"/>
      <w:r w:rsidRPr="001360E4">
        <w:rPr>
          <w:color w:val="000000"/>
          <w:sz w:val="20"/>
          <w:szCs w:val="20"/>
        </w:rPr>
        <w:t>Dec.,</w:t>
      </w:r>
      <w:proofErr w:type="gramEnd"/>
      <w:r w:rsidRPr="001360E4">
        <w:rPr>
          <w:color w:val="000000"/>
          <w:sz w:val="20"/>
          <w:szCs w:val="20"/>
        </w:rPr>
        <w:t xml:space="preserve"> 1882, Table of Faming Agencies and Indian Reservations Statistics, 271; </w:t>
      </w:r>
      <w:r w:rsidRPr="001360E4">
        <w:rPr>
          <w:sz w:val="20"/>
          <w:szCs w:val="20"/>
        </w:rPr>
        <w:t>Beal, “An Indian Chief,” 133.</w:t>
      </w:r>
    </w:p>
  </w:footnote>
  <w:footnote w:id="119">
    <w:p w14:paraId="6FB1D6A2" w14:textId="3BEFDF3B" w:rsidR="001360E4" w:rsidRPr="001360E4" w:rsidRDefault="001360E4" w:rsidP="001360E4">
      <w:pPr>
        <w:pStyle w:val="FootnoteText"/>
      </w:pPr>
      <w:r>
        <w:rPr>
          <w:rStyle w:val="FootnoteReference"/>
        </w:rPr>
        <w:footnoteRef/>
      </w:r>
      <w:r>
        <w:t xml:space="preserve"> </w:t>
      </w:r>
      <w:r w:rsidRPr="001360E4">
        <w:rPr>
          <w:color w:val="000000"/>
        </w:rPr>
        <w:t xml:space="preserve">Canada, </w:t>
      </w:r>
      <w:r w:rsidRPr="001360E4">
        <w:rPr>
          <w:i/>
          <w:iCs/>
          <w:color w:val="000000"/>
        </w:rPr>
        <w:t xml:space="preserve">Sessional Papers, </w:t>
      </w:r>
      <w:r w:rsidRPr="001360E4">
        <w:rPr>
          <w:color w:val="000000"/>
        </w:rPr>
        <w:t xml:space="preserve">31 </w:t>
      </w:r>
      <w:proofErr w:type="gramStart"/>
      <w:r w:rsidRPr="001360E4">
        <w:rPr>
          <w:color w:val="000000"/>
        </w:rPr>
        <w:t>Dec.,</w:t>
      </w:r>
      <w:proofErr w:type="gramEnd"/>
      <w:r w:rsidRPr="001360E4">
        <w:rPr>
          <w:color w:val="000000"/>
        </w:rPr>
        <w:t xml:space="preserve"> 1882, A. Macdonald report 9 May, 1881, 20</w:t>
      </w:r>
      <w:r>
        <w:rPr>
          <w:color w:val="000000"/>
        </w:rPr>
        <w:t>7.</w:t>
      </w:r>
    </w:p>
    <w:p w14:paraId="6B3A7ECC" w14:textId="1483E5BD" w:rsidR="001360E4" w:rsidRDefault="001360E4">
      <w:pPr>
        <w:pStyle w:val="FootnoteText"/>
      </w:pPr>
    </w:p>
  </w:footnote>
  <w:footnote w:id="120">
    <w:p w14:paraId="38F976F1" w14:textId="586200A4" w:rsidR="001360E4" w:rsidRDefault="001360E4">
      <w:pPr>
        <w:pStyle w:val="FootnoteText"/>
      </w:pPr>
      <w:r>
        <w:rPr>
          <w:rStyle w:val="FootnoteReference"/>
        </w:rPr>
        <w:footnoteRef/>
      </w:r>
      <w:r>
        <w:t xml:space="preserve"> </w:t>
      </w:r>
      <w:r w:rsidRPr="001360E4">
        <w:rPr>
          <w:color w:val="000000"/>
        </w:rPr>
        <w:t xml:space="preserve">Canada, </w:t>
      </w:r>
      <w:r w:rsidRPr="001360E4">
        <w:rPr>
          <w:i/>
          <w:iCs/>
          <w:color w:val="000000"/>
        </w:rPr>
        <w:t xml:space="preserve">Sessional Papers, </w:t>
      </w:r>
      <w:r w:rsidRPr="001360E4">
        <w:rPr>
          <w:color w:val="000000"/>
        </w:rPr>
        <w:t xml:space="preserve">Annual Report of the Department of Indian Affairs for the year ended 31 </w:t>
      </w:r>
      <w:proofErr w:type="gramStart"/>
      <w:r w:rsidRPr="001360E4">
        <w:rPr>
          <w:color w:val="000000"/>
        </w:rPr>
        <w:t>Dec.,</w:t>
      </w:r>
      <w:proofErr w:type="gramEnd"/>
      <w:r w:rsidRPr="001360E4">
        <w:rPr>
          <w:color w:val="000000"/>
        </w:rPr>
        <w:t xml:space="preserve"> 1882,</w:t>
      </w:r>
      <w:r>
        <w:rPr>
          <w:color w:val="000000"/>
        </w:rPr>
        <w:t xml:space="preserve"> Table of Farming Agencies and Indian Reservations Statistics, 264-5. </w:t>
      </w:r>
    </w:p>
  </w:footnote>
  <w:footnote w:id="121">
    <w:p w14:paraId="63EFFE11" w14:textId="5EE420FC" w:rsidR="001360E4" w:rsidRPr="001360E4" w:rsidRDefault="001360E4">
      <w:pPr>
        <w:pStyle w:val="FootnoteText"/>
      </w:pPr>
      <w:r w:rsidRPr="001360E4">
        <w:rPr>
          <w:rStyle w:val="FootnoteReference"/>
        </w:rPr>
        <w:footnoteRef/>
      </w:r>
      <w:r w:rsidRPr="001360E4">
        <w:t xml:space="preserve"> </w:t>
      </w:r>
      <w:r w:rsidRPr="001360E4">
        <w:rPr>
          <w:color w:val="000000"/>
        </w:rPr>
        <w:t xml:space="preserve">Canada, </w:t>
      </w:r>
      <w:r w:rsidRPr="001360E4">
        <w:rPr>
          <w:i/>
          <w:iCs/>
          <w:color w:val="000000"/>
        </w:rPr>
        <w:t xml:space="preserve">Sessional Papers, </w:t>
      </w:r>
      <w:r w:rsidRPr="001360E4">
        <w:rPr>
          <w:color w:val="000000"/>
        </w:rPr>
        <w:t xml:space="preserve">31 </w:t>
      </w:r>
      <w:proofErr w:type="gramStart"/>
      <w:r w:rsidRPr="001360E4">
        <w:rPr>
          <w:color w:val="000000"/>
        </w:rPr>
        <w:t>Dec.,</w:t>
      </w:r>
      <w:proofErr w:type="gramEnd"/>
      <w:r w:rsidRPr="001360E4">
        <w:rPr>
          <w:color w:val="000000"/>
        </w:rPr>
        <w:t xml:space="preserve"> 1882, A. Macdonald report 9 May, 1881, 207.</w:t>
      </w:r>
    </w:p>
  </w:footnote>
  <w:footnote w:id="122">
    <w:p w14:paraId="4D703815" w14:textId="3106152D" w:rsidR="001360E4" w:rsidRDefault="001360E4" w:rsidP="001360E4">
      <w:r w:rsidRPr="001360E4">
        <w:rPr>
          <w:rStyle w:val="FootnoteReference"/>
          <w:sz w:val="20"/>
          <w:szCs w:val="20"/>
        </w:rPr>
        <w:footnoteRef/>
      </w:r>
      <w:r w:rsidRPr="001360E4">
        <w:rPr>
          <w:sz w:val="20"/>
          <w:szCs w:val="20"/>
        </w:rPr>
        <w:t xml:space="preserve"> </w:t>
      </w:r>
      <w:r w:rsidRPr="001360E4">
        <w:rPr>
          <w:color w:val="000000"/>
          <w:sz w:val="20"/>
          <w:szCs w:val="20"/>
        </w:rPr>
        <w:t>Canada</w:t>
      </w:r>
      <w:r>
        <w:rPr>
          <w:color w:val="000000"/>
          <w:sz w:val="20"/>
          <w:szCs w:val="20"/>
        </w:rPr>
        <w:t xml:space="preserve">, </w:t>
      </w:r>
      <w:r w:rsidRPr="001360E4">
        <w:rPr>
          <w:i/>
          <w:iCs/>
          <w:color w:val="000000"/>
          <w:sz w:val="20"/>
          <w:szCs w:val="20"/>
        </w:rPr>
        <w:t>Sessional Papers,</w:t>
      </w:r>
      <w:r w:rsidRPr="001360E4">
        <w:rPr>
          <w:color w:val="000000"/>
          <w:sz w:val="20"/>
          <w:szCs w:val="20"/>
        </w:rPr>
        <w:t xml:space="preserve"> Annual Report of the Department of Indian Affairs for the year ended 31 </w:t>
      </w:r>
      <w:proofErr w:type="gramStart"/>
      <w:r w:rsidRPr="001360E4">
        <w:rPr>
          <w:color w:val="000000"/>
          <w:sz w:val="20"/>
          <w:szCs w:val="20"/>
        </w:rPr>
        <w:t>Dec.,</w:t>
      </w:r>
      <w:proofErr w:type="gramEnd"/>
      <w:r w:rsidRPr="001360E4">
        <w:rPr>
          <w:color w:val="000000"/>
          <w:sz w:val="20"/>
          <w:szCs w:val="20"/>
        </w:rPr>
        <w:t xml:space="preserve"> 1883, </w:t>
      </w:r>
      <w:r w:rsidRPr="001360E4">
        <w:rPr>
          <w:sz w:val="20"/>
          <w:szCs w:val="20"/>
        </w:rPr>
        <w:t>Table of Farming Agencies, 198</w:t>
      </w:r>
      <w:r>
        <w:rPr>
          <w:sz w:val="20"/>
          <w:szCs w:val="20"/>
        </w:rPr>
        <w:t xml:space="preserve">; </w:t>
      </w:r>
      <w:r w:rsidRPr="001360E4">
        <w:rPr>
          <w:color w:val="000000"/>
          <w:sz w:val="20"/>
          <w:szCs w:val="20"/>
        </w:rPr>
        <w:t>Canada Sessional Papers Annual Report of the Department of Indian Affairs for the year ended 31 Dec., 1883,</w:t>
      </w:r>
      <w:r>
        <w:rPr>
          <w:color w:val="000000"/>
          <w:sz w:val="20"/>
          <w:szCs w:val="20"/>
        </w:rPr>
        <w:t xml:space="preserve"> Number of Indians in the North-West Territories and their whereabouts, 204. </w:t>
      </w:r>
    </w:p>
  </w:footnote>
  <w:footnote w:id="123">
    <w:p w14:paraId="01281FD7" w14:textId="5247B3CD" w:rsidR="001360E4" w:rsidRDefault="001360E4">
      <w:pPr>
        <w:pStyle w:val="FootnoteText"/>
      </w:pPr>
      <w:r>
        <w:rPr>
          <w:rStyle w:val="FootnoteReference"/>
        </w:rPr>
        <w:footnoteRef/>
      </w:r>
      <w:r>
        <w:t xml:space="preserve"> </w:t>
      </w:r>
      <w:r w:rsidRPr="001360E4">
        <w:rPr>
          <w:color w:val="000000"/>
        </w:rPr>
        <w:t>Canada</w:t>
      </w:r>
      <w:r>
        <w:rPr>
          <w:color w:val="000000"/>
        </w:rPr>
        <w:t>,</w:t>
      </w:r>
      <w:r w:rsidRPr="001360E4">
        <w:rPr>
          <w:color w:val="000000"/>
        </w:rPr>
        <w:t xml:space="preserve"> </w:t>
      </w:r>
      <w:r w:rsidRPr="001360E4">
        <w:rPr>
          <w:i/>
          <w:iCs/>
          <w:color w:val="000000"/>
        </w:rPr>
        <w:t>Sessional Papers,</w:t>
      </w:r>
      <w:r w:rsidRPr="001360E4">
        <w:rPr>
          <w:color w:val="000000"/>
        </w:rPr>
        <w:t xml:space="preserve"> Annual Report of the Department of Indian Affairs for the year ended 31 </w:t>
      </w:r>
      <w:proofErr w:type="gramStart"/>
      <w:r w:rsidRPr="001360E4">
        <w:rPr>
          <w:color w:val="000000"/>
        </w:rPr>
        <w:t>Dec.,</w:t>
      </w:r>
      <w:proofErr w:type="gramEnd"/>
      <w:r w:rsidRPr="001360E4">
        <w:rPr>
          <w:color w:val="000000"/>
        </w:rPr>
        <w:t xml:space="preserve"> 1883,</w:t>
      </w:r>
      <w:r>
        <w:t xml:space="preserve"> Annual Report of A. Macdonald 6 July, 1883 and A. Macdonald letter 31 Aug., 1883, 75. </w:t>
      </w:r>
    </w:p>
  </w:footnote>
  <w:footnote w:id="124">
    <w:p w14:paraId="26881970" w14:textId="3FB8595B" w:rsidR="001360E4" w:rsidRDefault="001360E4">
      <w:pPr>
        <w:pStyle w:val="FootnoteText"/>
      </w:pPr>
      <w:r>
        <w:rPr>
          <w:rStyle w:val="FootnoteReference"/>
        </w:rPr>
        <w:footnoteRef/>
      </w:r>
      <w:r>
        <w:t xml:space="preserve"> </w:t>
      </w:r>
      <w:r w:rsidRPr="001360E4">
        <w:rPr>
          <w:color w:val="000000"/>
        </w:rPr>
        <w:t>Canada</w:t>
      </w:r>
      <w:r>
        <w:rPr>
          <w:color w:val="000000"/>
        </w:rPr>
        <w:t>,</w:t>
      </w:r>
      <w:r w:rsidRPr="001360E4">
        <w:rPr>
          <w:color w:val="000000"/>
        </w:rPr>
        <w:t xml:space="preserve"> </w:t>
      </w:r>
      <w:r w:rsidRPr="001360E4">
        <w:rPr>
          <w:i/>
          <w:iCs/>
          <w:color w:val="000000"/>
        </w:rPr>
        <w:t>Sessional Papers,</w:t>
      </w:r>
      <w:r w:rsidRPr="001360E4">
        <w:rPr>
          <w:color w:val="000000"/>
        </w:rPr>
        <w:t xml:space="preserve"> Annual Report of the Department of Indian Affairs for the year ended 31 </w:t>
      </w:r>
      <w:proofErr w:type="gramStart"/>
      <w:r w:rsidRPr="001360E4">
        <w:rPr>
          <w:color w:val="000000"/>
        </w:rPr>
        <w:t>Dec.,</w:t>
      </w:r>
      <w:proofErr w:type="gramEnd"/>
      <w:r w:rsidRPr="001360E4">
        <w:rPr>
          <w:color w:val="000000"/>
        </w:rPr>
        <w:t xml:space="preserve"> 1883, </w:t>
      </w:r>
      <w:r w:rsidRPr="001360E4">
        <w:t>Table of Farming Agencies</w:t>
      </w:r>
      <w:r>
        <w:t xml:space="preserve">, 192. </w:t>
      </w:r>
    </w:p>
  </w:footnote>
  <w:footnote w:id="125">
    <w:p w14:paraId="254C65AB" w14:textId="34BB3EF4" w:rsidR="001360E4" w:rsidRDefault="001360E4">
      <w:pPr>
        <w:pStyle w:val="FootnoteText"/>
      </w:pPr>
      <w:r>
        <w:rPr>
          <w:rStyle w:val="FootnoteReference"/>
        </w:rPr>
        <w:footnoteRef/>
      </w:r>
      <w:r>
        <w:t xml:space="preserve"> </w:t>
      </w:r>
      <w:r w:rsidRPr="001360E4">
        <w:rPr>
          <w:color w:val="000000"/>
        </w:rPr>
        <w:t>Canada</w:t>
      </w:r>
      <w:r>
        <w:rPr>
          <w:color w:val="000000"/>
        </w:rPr>
        <w:t>,</w:t>
      </w:r>
      <w:r w:rsidRPr="001360E4">
        <w:rPr>
          <w:color w:val="000000"/>
        </w:rPr>
        <w:t xml:space="preserve"> </w:t>
      </w:r>
      <w:r w:rsidRPr="001360E4">
        <w:rPr>
          <w:i/>
          <w:iCs/>
          <w:color w:val="000000"/>
        </w:rPr>
        <w:t>Sessional Papers,</w:t>
      </w:r>
      <w:r w:rsidRPr="001360E4">
        <w:rPr>
          <w:color w:val="000000"/>
        </w:rPr>
        <w:t xml:space="preserve"> Annual Report of the Department of Indian Affairs for the year ended 31 </w:t>
      </w:r>
      <w:proofErr w:type="gramStart"/>
      <w:r w:rsidRPr="001360E4">
        <w:rPr>
          <w:color w:val="000000"/>
        </w:rPr>
        <w:t>Dec.,</w:t>
      </w:r>
      <w:proofErr w:type="gramEnd"/>
      <w:r w:rsidRPr="001360E4">
        <w:rPr>
          <w:color w:val="000000"/>
        </w:rPr>
        <w:t xml:space="preserve"> 1883, </w:t>
      </w:r>
      <w:r>
        <w:t xml:space="preserve">Report od T.P. Wadsworth, 9 Oct., 1883, 119. </w:t>
      </w:r>
    </w:p>
  </w:footnote>
  <w:footnote w:id="126">
    <w:p w14:paraId="09AF10DB" w14:textId="0B0021D3" w:rsidR="001360E4" w:rsidRDefault="001360E4">
      <w:pPr>
        <w:pStyle w:val="FootnoteText"/>
      </w:pPr>
      <w:r>
        <w:rPr>
          <w:rStyle w:val="FootnoteReference"/>
        </w:rPr>
        <w:footnoteRef/>
      </w:r>
      <w:r>
        <w:t xml:space="preserve"> </w:t>
      </w:r>
      <w:r w:rsidRPr="001360E4">
        <w:rPr>
          <w:color w:val="000000"/>
        </w:rPr>
        <w:t>Canada</w:t>
      </w:r>
      <w:r>
        <w:rPr>
          <w:color w:val="000000"/>
        </w:rPr>
        <w:t>,</w:t>
      </w:r>
      <w:r w:rsidRPr="001360E4">
        <w:rPr>
          <w:color w:val="000000"/>
        </w:rPr>
        <w:t xml:space="preserve"> </w:t>
      </w:r>
      <w:r w:rsidRPr="001360E4">
        <w:rPr>
          <w:i/>
          <w:iCs/>
          <w:color w:val="000000"/>
        </w:rPr>
        <w:t>Sessional Papers,</w:t>
      </w:r>
      <w:r w:rsidRPr="001360E4">
        <w:rPr>
          <w:color w:val="000000"/>
        </w:rPr>
        <w:t xml:space="preserve"> 31 </w:t>
      </w:r>
      <w:proofErr w:type="gramStart"/>
      <w:r w:rsidRPr="001360E4">
        <w:rPr>
          <w:color w:val="000000"/>
        </w:rPr>
        <w:t>Dec.,</w:t>
      </w:r>
      <w:proofErr w:type="gramEnd"/>
      <w:r w:rsidRPr="001360E4">
        <w:rPr>
          <w:color w:val="000000"/>
        </w:rPr>
        <w:t xml:space="preserve"> 1883,</w:t>
      </w:r>
      <w:r>
        <w:t xml:space="preserve"> Annual Report of A. Macdonald 6 July, 1883 and A. Macdonald letter 31 Aug., 1883, 74. </w:t>
      </w:r>
    </w:p>
  </w:footnote>
  <w:footnote w:id="127">
    <w:p w14:paraId="469DAF78" w14:textId="77777777" w:rsidR="001360E4" w:rsidRDefault="001360E4" w:rsidP="001360E4">
      <w:pPr>
        <w:pStyle w:val="FootnoteText"/>
      </w:pPr>
      <w:r>
        <w:rPr>
          <w:rStyle w:val="FootnoteReference"/>
        </w:rPr>
        <w:footnoteRef/>
      </w:r>
      <w:r>
        <w:t xml:space="preserve"> </w:t>
      </w:r>
      <w:r w:rsidRPr="001360E4">
        <w:rPr>
          <w:color w:val="000000"/>
        </w:rPr>
        <w:t>Canada</w:t>
      </w:r>
      <w:r>
        <w:rPr>
          <w:color w:val="000000"/>
        </w:rPr>
        <w:t>,</w:t>
      </w:r>
      <w:r w:rsidRPr="001360E4">
        <w:rPr>
          <w:color w:val="000000"/>
        </w:rPr>
        <w:t xml:space="preserve"> </w:t>
      </w:r>
      <w:r w:rsidRPr="001360E4">
        <w:rPr>
          <w:i/>
          <w:iCs/>
          <w:color w:val="000000"/>
        </w:rPr>
        <w:t>Sessional Papers,</w:t>
      </w:r>
      <w:r w:rsidRPr="001360E4">
        <w:rPr>
          <w:color w:val="000000"/>
        </w:rPr>
        <w:t xml:space="preserve"> 31 </w:t>
      </w:r>
      <w:proofErr w:type="gramStart"/>
      <w:r w:rsidRPr="001360E4">
        <w:rPr>
          <w:color w:val="000000"/>
        </w:rPr>
        <w:t>Dec.,</w:t>
      </w:r>
      <w:proofErr w:type="gramEnd"/>
      <w:r w:rsidRPr="001360E4">
        <w:rPr>
          <w:color w:val="000000"/>
        </w:rPr>
        <w:t xml:space="preserve"> 1883, </w:t>
      </w:r>
      <w:r w:rsidRPr="001360E4">
        <w:t>Table of Farming Agencies</w:t>
      </w:r>
      <w:r>
        <w:t>, 192.</w:t>
      </w:r>
    </w:p>
  </w:footnote>
  <w:footnote w:id="128">
    <w:p w14:paraId="29B5AF99" w14:textId="714556BC" w:rsidR="001360E4" w:rsidRDefault="001360E4" w:rsidP="001360E4">
      <w:pPr>
        <w:pStyle w:val="FootnoteText"/>
      </w:pPr>
      <w:r>
        <w:rPr>
          <w:rStyle w:val="FootnoteReference"/>
        </w:rPr>
        <w:footnoteRef/>
      </w:r>
      <w:r>
        <w:t xml:space="preserve"> </w:t>
      </w:r>
      <w:r w:rsidRPr="001360E4">
        <w:rPr>
          <w:color w:val="000000"/>
        </w:rPr>
        <w:t>Canada</w:t>
      </w:r>
      <w:r>
        <w:rPr>
          <w:color w:val="000000"/>
        </w:rPr>
        <w:t>,</w:t>
      </w:r>
      <w:r w:rsidRPr="001360E4">
        <w:rPr>
          <w:color w:val="000000"/>
        </w:rPr>
        <w:t xml:space="preserve"> </w:t>
      </w:r>
      <w:r w:rsidRPr="001360E4">
        <w:rPr>
          <w:i/>
          <w:iCs/>
          <w:color w:val="000000"/>
        </w:rPr>
        <w:t>Sessional Papers,</w:t>
      </w:r>
      <w:r w:rsidRPr="001360E4">
        <w:rPr>
          <w:color w:val="000000"/>
        </w:rPr>
        <w:t xml:space="preserve"> 31 </w:t>
      </w:r>
      <w:proofErr w:type="gramStart"/>
      <w:r w:rsidRPr="001360E4">
        <w:rPr>
          <w:color w:val="000000"/>
        </w:rPr>
        <w:t>Dec.,</w:t>
      </w:r>
      <w:proofErr w:type="gramEnd"/>
      <w:r w:rsidRPr="001360E4">
        <w:rPr>
          <w:color w:val="000000"/>
        </w:rPr>
        <w:t xml:space="preserve"> 1883</w:t>
      </w:r>
      <w:r w:rsidRPr="001360E4">
        <w:t>,</w:t>
      </w:r>
      <w:r>
        <w:t xml:space="preserve"> Annual Report of A. Macdonald 6 July, 1883 and A. Macdonald letter 31 Aug., 1883, 70-4.</w:t>
      </w:r>
    </w:p>
  </w:footnote>
  <w:footnote w:id="129">
    <w:p w14:paraId="5D63B5AA" w14:textId="39D72006" w:rsidR="00BA6375" w:rsidRDefault="00BA6375" w:rsidP="00BA6375">
      <w:r>
        <w:rPr>
          <w:rStyle w:val="FootnoteReference"/>
        </w:rPr>
        <w:footnoteRef/>
      </w:r>
      <w:r>
        <w:t xml:space="preserve"> </w:t>
      </w:r>
      <w:r w:rsidRPr="001360E4">
        <w:rPr>
          <w:color w:val="000000"/>
          <w:sz w:val="20"/>
          <w:szCs w:val="20"/>
        </w:rPr>
        <w:t>LAC, RG 10, v. 3682, f. 12, 667</w:t>
      </w:r>
      <w:r>
        <w:rPr>
          <w:color w:val="000000"/>
          <w:sz w:val="20"/>
          <w:szCs w:val="20"/>
        </w:rPr>
        <w:t>,</w:t>
      </w:r>
      <w:r w:rsidRPr="001360E4">
        <w:rPr>
          <w:color w:val="000000"/>
          <w:sz w:val="20"/>
          <w:szCs w:val="20"/>
        </w:rPr>
        <w:t xml:space="preserve"> Edgar Dewdney to the Superintendent General of Indian Affairs, 28 </w:t>
      </w:r>
      <w:proofErr w:type="gramStart"/>
      <w:r w:rsidRPr="001360E4">
        <w:rPr>
          <w:color w:val="000000"/>
          <w:sz w:val="20"/>
          <w:szCs w:val="20"/>
        </w:rPr>
        <w:t>April,</w:t>
      </w:r>
      <w:proofErr w:type="gramEnd"/>
      <w:r w:rsidRPr="001360E4">
        <w:rPr>
          <w:color w:val="000000"/>
          <w:sz w:val="20"/>
          <w:szCs w:val="20"/>
        </w:rPr>
        <w:t xml:space="preserve"> 1884</w:t>
      </w:r>
      <w:r>
        <w:rPr>
          <w:color w:val="000000"/>
          <w:sz w:val="20"/>
          <w:szCs w:val="20"/>
        </w:rPr>
        <w:t>.</w:t>
      </w:r>
    </w:p>
  </w:footnote>
  <w:footnote w:id="130">
    <w:p w14:paraId="0ED664F2" w14:textId="0612DEAD" w:rsidR="001360E4" w:rsidRPr="001360E4" w:rsidRDefault="001360E4" w:rsidP="001360E4">
      <w:pPr>
        <w:rPr>
          <w:sz w:val="20"/>
          <w:szCs w:val="20"/>
        </w:rPr>
      </w:pPr>
      <w:r>
        <w:rPr>
          <w:rStyle w:val="FootnoteReference"/>
        </w:rPr>
        <w:footnoteRef/>
      </w:r>
      <w:r>
        <w:t xml:space="preserve"> </w:t>
      </w:r>
      <w:r w:rsidRPr="001360E4">
        <w:rPr>
          <w:color w:val="000000"/>
          <w:sz w:val="20"/>
          <w:szCs w:val="20"/>
        </w:rPr>
        <w:t>LAC, RG 10 v. 3687, f. 18362</w:t>
      </w:r>
      <w:r>
        <w:rPr>
          <w:color w:val="000000"/>
          <w:sz w:val="20"/>
          <w:szCs w:val="20"/>
        </w:rPr>
        <w:t xml:space="preserve">, S. Hockley to Indian Commissioner, 30 </w:t>
      </w:r>
      <w:proofErr w:type="gramStart"/>
      <w:r>
        <w:rPr>
          <w:color w:val="000000"/>
          <w:sz w:val="20"/>
          <w:szCs w:val="20"/>
        </w:rPr>
        <w:t>April,</w:t>
      </w:r>
      <w:proofErr w:type="gramEnd"/>
      <w:r>
        <w:rPr>
          <w:color w:val="000000"/>
          <w:sz w:val="20"/>
          <w:szCs w:val="20"/>
        </w:rPr>
        <w:t xml:space="preserve"> 1884. </w:t>
      </w:r>
    </w:p>
  </w:footnote>
  <w:footnote w:id="131">
    <w:p w14:paraId="7EA945EC" w14:textId="77777777" w:rsidR="001360E4" w:rsidRDefault="001360E4" w:rsidP="001360E4">
      <w:pPr>
        <w:pStyle w:val="FootnoteText"/>
      </w:pPr>
      <w:r>
        <w:rPr>
          <w:rStyle w:val="FootnoteReference"/>
        </w:rPr>
        <w:footnoteRef/>
      </w:r>
      <w:r>
        <w:t xml:space="preserve"> </w:t>
      </w:r>
      <w:r w:rsidRPr="001360E4">
        <w:rPr>
          <w:color w:val="000000"/>
        </w:rPr>
        <w:t>Canada</w:t>
      </w:r>
      <w:r>
        <w:rPr>
          <w:color w:val="000000"/>
        </w:rPr>
        <w:t>,</w:t>
      </w:r>
      <w:r w:rsidRPr="001360E4">
        <w:rPr>
          <w:color w:val="000000"/>
        </w:rPr>
        <w:t xml:space="preserve"> </w:t>
      </w:r>
      <w:r w:rsidRPr="001360E4">
        <w:rPr>
          <w:i/>
          <w:iCs/>
          <w:color w:val="000000"/>
        </w:rPr>
        <w:t>Sessional Papers,</w:t>
      </w:r>
      <w:r w:rsidRPr="001360E4">
        <w:rPr>
          <w:color w:val="000000"/>
        </w:rPr>
        <w:t xml:space="preserve"> 31 </w:t>
      </w:r>
      <w:proofErr w:type="gramStart"/>
      <w:r w:rsidRPr="001360E4">
        <w:rPr>
          <w:color w:val="000000"/>
        </w:rPr>
        <w:t>Dec.,</w:t>
      </w:r>
      <w:proofErr w:type="gramEnd"/>
      <w:r w:rsidRPr="001360E4">
        <w:rPr>
          <w:color w:val="000000"/>
        </w:rPr>
        <w:t xml:space="preserve"> 1883</w:t>
      </w:r>
      <w:r w:rsidRPr="001360E4">
        <w:t>,</w:t>
      </w:r>
      <w:r>
        <w:t xml:space="preserve"> Annual Report of A. Macdonald 6 July, 1883 and A. Macdonald letter 31 Aug., 1883, 70-1. </w:t>
      </w:r>
    </w:p>
  </w:footnote>
  <w:footnote w:id="132">
    <w:p w14:paraId="420F0CE1" w14:textId="67F44153" w:rsidR="001360E4" w:rsidRDefault="001360E4">
      <w:pPr>
        <w:pStyle w:val="FootnoteText"/>
      </w:pPr>
      <w:r>
        <w:rPr>
          <w:rStyle w:val="FootnoteReference"/>
        </w:rPr>
        <w:footnoteRef/>
      </w:r>
      <w:r>
        <w:t xml:space="preserve"> </w:t>
      </w:r>
      <w:r w:rsidRPr="001360E4">
        <w:rPr>
          <w:color w:val="000000"/>
        </w:rPr>
        <w:t>Canada</w:t>
      </w:r>
      <w:r>
        <w:rPr>
          <w:color w:val="000000"/>
        </w:rPr>
        <w:t>,</w:t>
      </w:r>
      <w:r w:rsidRPr="001360E4">
        <w:rPr>
          <w:color w:val="000000"/>
        </w:rPr>
        <w:t xml:space="preserve"> </w:t>
      </w:r>
      <w:r w:rsidRPr="001360E4">
        <w:rPr>
          <w:i/>
          <w:iCs/>
          <w:color w:val="000000"/>
        </w:rPr>
        <w:t>Sessional Papers,</w:t>
      </w:r>
      <w:r w:rsidRPr="001360E4">
        <w:rPr>
          <w:color w:val="000000"/>
        </w:rPr>
        <w:t xml:space="preserve"> Annual Report of the Department of Indian Affairs for the year ended 31 </w:t>
      </w:r>
      <w:proofErr w:type="gramStart"/>
      <w:r w:rsidRPr="001360E4">
        <w:rPr>
          <w:color w:val="000000"/>
        </w:rPr>
        <w:t>Dec.,</w:t>
      </w:r>
      <w:proofErr w:type="gramEnd"/>
      <w:r w:rsidRPr="001360E4">
        <w:rPr>
          <w:color w:val="000000"/>
        </w:rPr>
        <w:t xml:space="preserve"> 1883,</w:t>
      </w:r>
      <w:r>
        <w:rPr>
          <w:color w:val="000000"/>
        </w:rPr>
        <w:t xml:space="preserve"> E. Dewdney to Superintendent General of Indian Affairs 2 Oct., 1883, 99.</w:t>
      </w:r>
    </w:p>
  </w:footnote>
  <w:footnote w:id="133">
    <w:p w14:paraId="0AC89B82" w14:textId="270E8D05" w:rsidR="001360E4" w:rsidRDefault="001360E4">
      <w:pPr>
        <w:pStyle w:val="FootnoteText"/>
      </w:pPr>
      <w:r>
        <w:rPr>
          <w:rStyle w:val="FootnoteReference"/>
        </w:rPr>
        <w:footnoteRef/>
      </w:r>
      <w:r>
        <w:t xml:space="preserve"> </w:t>
      </w:r>
      <w:r w:rsidRPr="001360E4">
        <w:rPr>
          <w:color w:val="000000"/>
        </w:rPr>
        <w:t>Canada</w:t>
      </w:r>
      <w:r>
        <w:rPr>
          <w:color w:val="000000"/>
        </w:rPr>
        <w:t>,</w:t>
      </w:r>
      <w:r w:rsidRPr="001360E4">
        <w:rPr>
          <w:color w:val="000000"/>
        </w:rPr>
        <w:t xml:space="preserve"> </w:t>
      </w:r>
      <w:r w:rsidRPr="001360E4">
        <w:rPr>
          <w:i/>
          <w:iCs/>
          <w:color w:val="000000"/>
        </w:rPr>
        <w:t>Sessional Papers</w:t>
      </w:r>
      <w:r>
        <w:rPr>
          <w:i/>
          <w:iCs/>
          <w:color w:val="000000"/>
        </w:rPr>
        <w:t xml:space="preserve">, </w:t>
      </w:r>
      <w:r w:rsidRPr="001360E4">
        <w:rPr>
          <w:color w:val="000000"/>
        </w:rPr>
        <w:t xml:space="preserve">31 </w:t>
      </w:r>
      <w:proofErr w:type="gramStart"/>
      <w:r w:rsidRPr="001360E4">
        <w:rPr>
          <w:color w:val="000000"/>
        </w:rPr>
        <w:t>Dec.,</w:t>
      </w:r>
      <w:proofErr w:type="gramEnd"/>
      <w:r w:rsidRPr="001360E4">
        <w:rPr>
          <w:color w:val="000000"/>
        </w:rPr>
        <w:t xml:space="preserve"> 1883,</w:t>
      </w:r>
      <w:r>
        <w:rPr>
          <w:color w:val="000000"/>
        </w:rPr>
        <w:t xml:space="preserve"> E. Dewdney to Superintendent General of Indian Affairs 2 Oct., 1883, 100. </w:t>
      </w:r>
    </w:p>
  </w:footnote>
  <w:footnote w:id="134">
    <w:p w14:paraId="483F356E" w14:textId="19EB48E9" w:rsidR="001360E4" w:rsidRDefault="001360E4">
      <w:pPr>
        <w:pStyle w:val="FootnoteText"/>
      </w:pPr>
      <w:r>
        <w:rPr>
          <w:rStyle w:val="FootnoteReference"/>
        </w:rPr>
        <w:footnoteRef/>
      </w:r>
      <w:r>
        <w:t xml:space="preserve"> </w:t>
      </w:r>
      <w:r w:rsidRPr="001360E4">
        <w:rPr>
          <w:color w:val="000000"/>
        </w:rPr>
        <w:t>Canada</w:t>
      </w:r>
      <w:r>
        <w:rPr>
          <w:color w:val="000000"/>
        </w:rPr>
        <w:t>,</w:t>
      </w:r>
      <w:r w:rsidRPr="001360E4">
        <w:rPr>
          <w:color w:val="000000"/>
        </w:rPr>
        <w:t xml:space="preserve"> </w:t>
      </w:r>
      <w:r w:rsidRPr="001360E4">
        <w:rPr>
          <w:i/>
          <w:iCs/>
          <w:color w:val="000000"/>
        </w:rPr>
        <w:t>Sessional Papers,</w:t>
      </w:r>
      <w:r w:rsidRPr="001360E4">
        <w:rPr>
          <w:color w:val="000000"/>
        </w:rPr>
        <w:t xml:space="preserve"> Annual Report of the Department of Indian Affairs for the year ended 31 </w:t>
      </w:r>
      <w:proofErr w:type="gramStart"/>
      <w:r w:rsidRPr="001360E4">
        <w:rPr>
          <w:color w:val="000000"/>
        </w:rPr>
        <w:t>Dec.,</w:t>
      </w:r>
      <w:proofErr w:type="gramEnd"/>
      <w:r w:rsidRPr="001360E4">
        <w:rPr>
          <w:color w:val="000000"/>
        </w:rPr>
        <w:t xml:space="preserve"> 1883,</w:t>
      </w:r>
      <w:r>
        <w:rPr>
          <w:color w:val="000000"/>
        </w:rPr>
        <w:t xml:space="preserve"> Report of T.P. Wadsworth, 9 Oct., 1883, 119.</w:t>
      </w:r>
    </w:p>
  </w:footnote>
  <w:footnote w:id="135">
    <w:p w14:paraId="0C860D8D" w14:textId="058B84A4" w:rsidR="001360E4" w:rsidRDefault="001360E4">
      <w:pPr>
        <w:pStyle w:val="FootnoteText"/>
      </w:pPr>
      <w:r>
        <w:rPr>
          <w:rStyle w:val="FootnoteReference"/>
        </w:rPr>
        <w:footnoteRef/>
      </w:r>
      <w:r>
        <w:t xml:space="preserve"> </w:t>
      </w:r>
      <w:r w:rsidRPr="001360E4">
        <w:rPr>
          <w:color w:val="000000"/>
        </w:rPr>
        <w:t>Canada</w:t>
      </w:r>
      <w:r>
        <w:rPr>
          <w:color w:val="000000"/>
        </w:rPr>
        <w:t>,</w:t>
      </w:r>
      <w:r w:rsidRPr="001360E4">
        <w:rPr>
          <w:color w:val="000000"/>
        </w:rPr>
        <w:t xml:space="preserve"> </w:t>
      </w:r>
      <w:r w:rsidRPr="001360E4">
        <w:rPr>
          <w:i/>
          <w:iCs/>
          <w:color w:val="000000"/>
        </w:rPr>
        <w:t>Sessional Papers,</w:t>
      </w:r>
      <w:r w:rsidRPr="001360E4">
        <w:rPr>
          <w:color w:val="000000"/>
        </w:rPr>
        <w:t xml:space="preserve"> 31 </w:t>
      </w:r>
      <w:proofErr w:type="gramStart"/>
      <w:r w:rsidRPr="001360E4">
        <w:rPr>
          <w:color w:val="000000"/>
        </w:rPr>
        <w:t>Dec.,</w:t>
      </w:r>
      <w:proofErr w:type="gramEnd"/>
      <w:r w:rsidRPr="001360E4">
        <w:rPr>
          <w:color w:val="000000"/>
        </w:rPr>
        <w:t xml:space="preserve"> 1883</w:t>
      </w:r>
      <w:r w:rsidRPr="001360E4">
        <w:t>,</w:t>
      </w:r>
      <w:r>
        <w:t xml:space="preserve"> Annual Report of A. Macdonald 6 July, 1883 and A. Macdonald letter 31 Aug., 1883, 70-2. </w:t>
      </w:r>
    </w:p>
  </w:footnote>
  <w:footnote w:id="136">
    <w:p w14:paraId="22208560" w14:textId="646A9D82" w:rsidR="001360E4" w:rsidRDefault="001360E4" w:rsidP="001360E4">
      <w:r>
        <w:rPr>
          <w:rStyle w:val="FootnoteReference"/>
        </w:rPr>
        <w:footnoteRef/>
      </w:r>
      <w:r>
        <w:t xml:space="preserve"> </w:t>
      </w:r>
      <w:r>
        <w:rPr>
          <w:color w:val="000000"/>
          <w:sz w:val="20"/>
          <w:szCs w:val="20"/>
        </w:rPr>
        <w:t xml:space="preserve">Canada, </w:t>
      </w:r>
      <w:r w:rsidRPr="001360E4">
        <w:rPr>
          <w:i/>
          <w:iCs/>
          <w:color w:val="000000"/>
          <w:sz w:val="20"/>
          <w:szCs w:val="20"/>
        </w:rPr>
        <w:t>Sessional Papers</w:t>
      </w:r>
      <w:r>
        <w:rPr>
          <w:color w:val="000000"/>
          <w:sz w:val="20"/>
          <w:szCs w:val="20"/>
        </w:rPr>
        <w:t xml:space="preserve">, Annual Report of the Department of Indian Affairs for the year ended 31 </w:t>
      </w:r>
      <w:proofErr w:type="gramStart"/>
      <w:r>
        <w:rPr>
          <w:color w:val="000000"/>
          <w:sz w:val="20"/>
          <w:szCs w:val="20"/>
        </w:rPr>
        <w:t>Dec.,</w:t>
      </w:r>
      <w:proofErr w:type="gramEnd"/>
      <w:r>
        <w:rPr>
          <w:color w:val="000000"/>
          <w:sz w:val="20"/>
          <w:szCs w:val="20"/>
        </w:rPr>
        <w:t xml:space="preserve"> 1884, Extract from the report of the Superintendent General of Indian Affairs John A. Macdonald, 1 Jan. 1885, 11.</w:t>
      </w:r>
    </w:p>
  </w:footnote>
  <w:footnote w:id="137">
    <w:p w14:paraId="50054B07" w14:textId="757E3F17" w:rsidR="001360E4" w:rsidRDefault="001360E4" w:rsidP="001360E4">
      <w:r>
        <w:rPr>
          <w:rStyle w:val="FootnoteReference"/>
        </w:rPr>
        <w:footnoteRef/>
      </w:r>
      <w:r>
        <w:t xml:space="preserve"> </w:t>
      </w:r>
      <w:r>
        <w:rPr>
          <w:color w:val="000000"/>
          <w:sz w:val="20"/>
          <w:szCs w:val="20"/>
        </w:rPr>
        <w:t xml:space="preserve">Canada, </w:t>
      </w:r>
      <w:r w:rsidRPr="001360E4">
        <w:rPr>
          <w:i/>
          <w:iCs/>
          <w:color w:val="000000"/>
          <w:sz w:val="20"/>
          <w:szCs w:val="20"/>
        </w:rPr>
        <w:t>Sessional Papers</w:t>
      </w:r>
      <w:r>
        <w:rPr>
          <w:color w:val="000000"/>
          <w:sz w:val="20"/>
          <w:szCs w:val="20"/>
        </w:rPr>
        <w:t xml:space="preserve">, Annual Report of the Department of Indian Affairs for the year ended 31 </w:t>
      </w:r>
      <w:proofErr w:type="gramStart"/>
      <w:r>
        <w:rPr>
          <w:color w:val="000000"/>
          <w:sz w:val="20"/>
          <w:szCs w:val="20"/>
        </w:rPr>
        <w:t>Dec.,</w:t>
      </w:r>
      <w:proofErr w:type="gramEnd"/>
      <w:r>
        <w:rPr>
          <w:color w:val="000000"/>
          <w:sz w:val="20"/>
          <w:szCs w:val="20"/>
        </w:rPr>
        <w:t xml:space="preserve"> 1884, Letter from A. Macdonald to the Superintendent General of Indian Affairs, 16 Sept., 1884, 67.</w:t>
      </w:r>
    </w:p>
  </w:footnote>
  <w:footnote w:id="138">
    <w:p w14:paraId="5FCE080B" w14:textId="55918F98" w:rsidR="001360E4" w:rsidRDefault="001360E4">
      <w:pPr>
        <w:pStyle w:val="FootnoteText"/>
      </w:pPr>
      <w:r>
        <w:rPr>
          <w:rStyle w:val="FootnoteReference"/>
        </w:rPr>
        <w:footnoteRef/>
      </w:r>
      <w:r>
        <w:t xml:space="preserve"> </w:t>
      </w:r>
      <w:r w:rsidRPr="001360E4">
        <w:rPr>
          <w:color w:val="000000"/>
        </w:rPr>
        <w:t>Canada</w:t>
      </w:r>
      <w:r>
        <w:rPr>
          <w:color w:val="000000"/>
        </w:rPr>
        <w:t>,</w:t>
      </w:r>
      <w:r w:rsidRPr="001360E4">
        <w:rPr>
          <w:color w:val="000000"/>
        </w:rPr>
        <w:t xml:space="preserve"> </w:t>
      </w:r>
      <w:r w:rsidRPr="001360E4">
        <w:rPr>
          <w:i/>
          <w:iCs/>
          <w:color w:val="000000"/>
        </w:rPr>
        <w:t>Sessional Papers,</w:t>
      </w:r>
      <w:r w:rsidRPr="001360E4">
        <w:rPr>
          <w:color w:val="000000"/>
        </w:rPr>
        <w:t xml:space="preserve"> 31 </w:t>
      </w:r>
      <w:proofErr w:type="gramStart"/>
      <w:r w:rsidRPr="001360E4">
        <w:rPr>
          <w:color w:val="000000"/>
        </w:rPr>
        <w:t>Dec.,</w:t>
      </w:r>
      <w:proofErr w:type="gramEnd"/>
      <w:r w:rsidRPr="001360E4">
        <w:rPr>
          <w:color w:val="000000"/>
        </w:rPr>
        <w:t xml:space="preserve"> 1883</w:t>
      </w:r>
      <w:r w:rsidRPr="001360E4">
        <w:t>,</w:t>
      </w:r>
      <w:r>
        <w:t xml:space="preserve"> Annual Report of A. Macdonald 6 July, 1883 and A. Macdonald letter 31 Aug., 1883, 74.</w:t>
      </w:r>
    </w:p>
  </w:footnote>
  <w:footnote w:id="139">
    <w:p w14:paraId="6D99B88F" w14:textId="0CF44EB7" w:rsidR="001360E4" w:rsidRDefault="001360E4" w:rsidP="00BA6375">
      <w:r>
        <w:rPr>
          <w:rStyle w:val="FootnoteReference"/>
        </w:rPr>
        <w:footnoteRef/>
      </w:r>
      <w:r>
        <w:t xml:space="preserve"> </w:t>
      </w:r>
      <w:r>
        <w:rPr>
          <w:color w:val="000000"/>
          <w:sz w:val="20"/>
          <w:szCs w:val="20"/>
        </w:rPr>
        <w:t xml:space="preserve">Canada, </w:t>
      </w:r>
      <w:r w:rsidRPr="001360E4">
        <w:rPr>
          <w:i/>
          <w:iCs/>
          <w:color w:val="000000"/>
          <w:sz w:val="20"/>
          <w:szCs w:val="20"/>
        </w:rPr>
        <w:t>Sessional Papers</w:t>
      </w:r>
      <w:r>
        <w:rPr>
          <w:color w:val="000000"/>
          <w:sz w:val="20"/>
          <w:szCs w:val="20"/>
        </w:rPr>
        <w:t xml:space="preserve">, 31 </w:t>
      </w:r>
      <w:proofErr w:type="gramStart"/>
      <w:r>
        <w:rPr>
          <w:color w:val="000000"/>
          <w:sz w:val="20"/>
          <w:szCs w:val="20"/>
        </w:rPr>
        <w:t>Dec.,</w:t>
      </w:r>
      <w:proofErr w:type="gramEnd"/>
      <w:r>
        <w:rPr>
          <w:color w:val="000000"/>
          <w:sz w:val="20"/>
          <w:szCs w:val="20"/>
        </w:rPr>
        <w:t xml:space="preserve"> 1884, A. Macdonald to the Superintendent General of Indian Affairs, 16 Sept., 1884, 66.</w:t>
      </w:r>
    </w:p>
  </w:footnote>
  <w:footnote w:id="140">
    <w:p w14:paraId="4C6DDDA3" w14:textId="4DFF8090" w:rsidR="001360E4" w:rsidRDefault="001360E4">
      <w:pPr>
        <w:pStyle w:val="FootnoteText"/>
      </w:pPr>
      <w:r>
        <w:rPr>
          <w:rStyle w:val="FootnoteReference"/>
        </w:rPr>
        <w:footnoteRef/>
      </w:r>
      <w:r>
        <w:t xml:space="preserve"> </w:t>
      </w:r>
      <w:r w:rsidRPr="001360E4">
        <w:rPr>
          <w:color w:val="000000"/>
        </w:rPr>
        <w:t>Canada</w:t>
      </w:r>
      <w:r>
        <w:rPr>
          <w:color w:val="000000"/>
        </w:rPr>
        <w:t>,</w:t>
      </w:r>
      <w:r w:rsidRPr="001360E4">
        <w:rPr>
          <w:color w:val="000000"/>
        </w:rPr>
        <w:t xml:space="preserve"> </w:t>
      </w:r>
      <w:r w:rsidRPr="001360E4">
        <w:rPr>
          <w:i/>
          <w:iCs/>
          <w:color w:val="000000"/>
        </w:rPr>
        <w:t>Sessional Papers,</w:t>
      </w:r>
      <w:r w:rsidRPr="001360E4">
        <w:rPr>
          <w:color w:val="000000"/>
        </w:rPr>
        <w:t xml:space="preserve"> 31 </w:t>
      </w:r>
      <w:proofErr w:type="gramStart"/>
      <w:r w:rsidRPr="001360E4">
        <w:rPr>
          <w:color w:val="000000"/>
        </w:rPr>
        <w:t>Dec.,</w:t>
      </w:r>
      <w:proofErr w:type="gramEnd"/>
      <w:r w:rsidRPr="001360E4">
        <w:rPr>
          <w:color w:val="000000"/>
        </w:rPr>
        <w:t xml:space="preserve"> 1883</w:t>
      </w:r>
      <w:r w:rsidRPr="001360E4">
        <w:t>,</w:t>
      </w:r>
      <w:r>
        <w:t xml:space="preserve"> Annual Report of A. Macdonald 6 July, 1883 and A. Macdonald letter 31 Aug., 1883, 72.</w:t>
      </w:r>
    </w:p>
  </w:footnote>
  <w:footnote w:id="141">
    <w:p w14:paraId="136B11B3" w14:textId="7659D915" w:rsidR="001360E4" w:rsidRDefault="001360E4">
      <w:pPr>
        <w:pStyle w:val="FootnoteText"/>
      </w:pPr>
      <w:r>
        <w:rPr>
          <w:rStyle w:val="FootnoteReference"/>
        </w:rPr>
        <w:footnoteRef/>
      </w:r>
      <w:r>
        <w:t xml:space="preserve"> </w:t>
      </w:r>
      <w:r w:rsidRPr="001360E4">
        <w:rPr>
          <w:color w:val="000000"/>
        </w:rPr>
        <w:t>LAC, RG 10, v. 3682, f. 12, 667</w:t>
      </w:r>
      <w:r>
        <w:rPr>
          <w:color w:val="000000"/>
        </w:rPr>
        <w:t>,</w:t>
      </w:r>
      <w:r w:rsidRPr="001360E4">
        <w:rPr>
          <w:color w:val="000000"/>
        </w:rPr>
        <w:t xml:space="preserve"> Edgar</w:t>
      </w:r>
      <w:r>
        <w:rPr>
          <w:color w:val="000000"/>
        </w:rPr>
        <w:t xml:space="preserve"> Dewdney </w:t>
      </w:r>
      <w:r w:rsidRPr="001360E4">
        <w:rPr>
          <w:color w:val="000000"/>
        </w:rPr>
        <w:t xml:space="preserve">28 </w:t>
      </w:r>
      <w:proofErr w:type="gramStart"/>
      <w:r w:rsidRPr="001360E4">
        <w:rPr>
          <w:color w:val="000000"/>
        </w:rPr>
        <w:t>Apr</w:t>
      </w:r>
      <w:r>
        <w:rPr>
          <w:color w:val="000000"/>
        </w:rPr>
        <w:t>.,</w:t>
      </w:r>
      <w:proofErr w:type="gramEnd"/>
      <w:r w:rsidRPr="001360E4">
        <w:rPr>
          <w:color w:val="000000"/>
        </w:rPr>
        <w:t xml:space="preserve"> 1884</w:t>
      </w:r>
      <w:r>
        <w:rPr>
          <w:color w:val="000000"/>
        </w:rPr>
        <w:t>.</w:t>
      </w:r>
    </w:p>
  </w:footnote>
  <w:footnote w:id="142">
    <w:p w14:paraId="68A74B05" w14:textId="61787900" w:rsidR="001360E4" w:rsidRDefault="001360E4">
      <w:pPr>
        <w:pStyle w:val="FootnoteText"/>
      </w:pPr>
      <w:r>
        <w:rPr>
          <w:rStyle w:val="FootnoteReference"/>
        </w:rPr>
        <w:footnoteRef/>
      </w:r>
      <w:r>
        <w:t xml:space="preserve"> </w:t>
      </w:r>
      <w:r>
        <w:rPr>
          <w:color w:val="000000"/>
        </w:rPr>
        <w:t xml:space="preserve">Canada, </w:t>
      </w:r>
      <w:r w:rsidRPr="001360E4">
        <w:rPr>
          <w:i/>
          <w:iCs/>
          <w:color w:val="000000"/>
        </w:rPr>
        <w:t>Sessional Papers</w:t>
      </w:r>
      <w:r>
        <w:rPr>
          <w:color w:val="000000"/>
        </w:rPr>
        <w:t xml:space="preserve">, Annual Report of the Department of Indian Affairs for the year ended 31 </w:t>
      </w:r>
      <w:proofErr w:type="gramStart"/>
      <w:r>
        <w:rPr>
          <w:color w:val="000000"/>
        </w:rPr>
        <w:t>Dec.,</w:t>
      </w:r>
      <w:proofErr w:type="gramEnd"/>
      <w:r>
        <w:rPr>
          <w:color w:val="000000"/>
        </w:rPr>
        <w:t xml:space="preserve"> 1883, Table B Indians of Manitoba and the North-West, 127-8.</w:t>
      </w:r>
    </w:p>
  </w:footnote>
  <w:footnote w:id="143">
    <w:p w14:paraId="38128C7E" w14:textId="56CA700D" w:rsidR="001360E4" w:rsidRDefault="001360E4" w:rsidP="001360E4">
      <w:r>
        <w:rPr>
          <w:rStyle w:val="FootnoteReference"/>
        </w:rPr>
        <w:footnoteRef/>
      </w:r>
      <w:r>
        <w:t xml:space="preserve"> </w:t>
      </w:r>
      <w:r>
        <w:rPr>
          <w:color w:val="000000"/>
          <w:sz w:val="20"/>
          <w:szCs w:val="20"/>
        </w:rPr>
        <w:t xml:space="preserve">Canada, </w:t>
      </w:r>
      <w:r w:rsidRPr="001360E4">
        <w:rPr>
          <w:i/>
          <w:iCs/>
          <w:color w:val="000000"/>
          <w:sz w:val="20"/>
          <w:szCs w:val="20"/>
        </w:rPr>
        <w:t>Sessional Papers</w:t>
      </w:r>
      <w:r>
        <w:rPr>
          <w:color w:val="000000"/>
          <w:sz w:val="20"/>
          <w:szCs w:val="20"/>
        </w:rPr>
        <w:t xml:space="preserve">, Annual Report of the Department of Indian Affairs for the year ended 31 </w:t>
      </w:r>
      <w:proofErr w:type="gramStart"/>
      <w:r>
        <w:rPr>
          <w:color w:val="000000"/>
          <w:sz w:val="20"/>
          <w:szCs w:val="20"/>
        </w:rPr>
        <w:t>Dec.,</w:t>
      </w:r>
      <w:proofErr w:type="gramEnd"/>
      <w:r>
        <w:rPr>
          <w:color w:val="000000"/>
          <w:sz w:val="20"/>
          <w:szCs w:val="20"/>
        </w:rPr>
        <w:t xml:space="preserve"> 1884, Table B Indians of Manitoba and the North-West Agricultural Implements, 143-4. </w:t>
      </w:r>
    </w:p>
  </w:footnote>
  <w:footnote w:id="144">
    <w:p w14:paraId="21B98989" w14:textId="14A07E81" w:rsidR="001360E4" w:rsidRDefault="001360E4">
      <w:pPr>
        <w:pStyle w:val="FootnoteText"/>
      </w:pPr>
      <w:r>
        <w:rPr>
          <w:rStyle w:val="FootnoteReference"/>
        </w:rPr>
        <w:footnoteRef/>
      </w:r>
      <w:r>
        <w:t xml:space="preserve"> </w:t>
      </w:r>
      <w:r>
        <w:rPr>
          <w:color w:val="000000"/>
        </w:rPr>
        <w:t xml:space="preserve">Canada, </w:t>
      </w:r>
      <w:r w:rsidRPr="001360E4">
        <w:rPr>
          <w:i/>
          <w:iCs/>
          <w:color w:val="000000"/>
        </w:rPr>
        <w:t>Sessional Papers,</w:t>
      </w:r>
      <w:r>
        <w:rPr>
          <w:color w:val="000000"/>
        </w:rPr>
        <w:t xml:space="preserve"> Annual Report of the Department of Indian Affairs for the year ended 31 </w:t>
      </w:r>
      <w:proofErr w:type="gramStart"/>
      <w:r>
        <w:rPr>
          <w:color w:val="000000"/>
        </w:rPr>
        <w:t>Dec.,</w:t>
      </w:r>
      <w:proofErr w:type="gramEnd"/>
      <w:r>
        <w:rPr>
          <w:color w:val="000000"/>
        </w:rPr>
        <w:t xml:space="preserve"> 1884, Table E Indians of Manitoba and the North-West- seed, 151-2.  </w:t>
      </w:r>
    </w:p>
  </w:footnote>
  <w:footnote w:id="145">
    <w:p w14:paraId="3B14EFD8" w14:textId="4F158FEA" w:rsidR="001360E4" w:rsidRDefault="001360E4">
      <w:pPr>
        <w:pStyle w:val="FootnoteText"/>
      </w:pPr>
      <w:r>
        <w:rPr>
          <w:rStyle w:val="FootnoteReference"/>
        </w:rPr>
        <w:footnoteRef/>
      </w:r>
      <w:r>
        <w:t xml:space="preserve"> </w:t>
      </w:r>
      <w:r>
        <w:rPr>
          <w:color w:val="000000"/>
        </w:rPr>
        <w:t xml:space="preserve">Canada, </w:t>
      </w:r>
      <w:r w:rsidRPr="001360E4">
        <w:rPr>
          <w:i/>
          <w:iCs/>
          <w:color w:val="000000"/>
        </w:rPr>
        <w:t>Sessional Papers</w:t>
      </w:r>
      <w:r>
        <w:rPr>
          <w:color w:val="000000"/>
        </w:rPr>
        <w:t xml:space="preserve">, Annual Report of the Department of Indian Affairs for the year ended 31 </w:t>
      </w:r>
      <w:proofErr w:type="gramStart"/>
      <w:r>
        <w:rPr>
          <w:color w:val="000000"/>
        </w:rPr>
        <w:t>Dec.,</w:t>
      </w:r>
      <w:proofErr w:type="gramEnd"/>
      <w:r>
        <w:rPr>
          <w:color w:val="000000"/>
        </w:rPr>
        <w:t xml:space="preserve"> 1884, Table of Farming Agencies, 192-3.</w:t>
      </w:r>
    </w:p>
  </w:footnote>
  <w:footnote w:id="146">
    <w:p w14:paraId="233410C2" w14:textId="1F26B06D" w:rsidR="001360E4" w:rsidRDefault="001360E4">
      <w:pPr>
        <w:pStyle w:val="FootnoteText"/>
      </w:pPr>
      <w:r>
        <w:rPr>
          <w:rStyle w:val="FootnoteReference"/>
        </w:rPr>
        <w:footnoteRef/>
      </w:r>
      <w:r>
        <w:t xml:space="preserve"> </w:t>
      </w:r>
      <w:r>
        <w:rPr>
          <w:color w:val="000000"/>
        </w:rPr>
        <w:t xml:space="preserve">Canada, </w:t>
      </w:r>
      <w:r w:rsidRPr="001360E4">
        <w:rPr>
          <w:i/>
          <w:iCs/>
          <w:color w:val="000000"/>
        </w:rPr>
        <w:t>Sessional Papers,</w:t>
      </w:r>
      <w:r>
        <w:rPr>
          <w:color w:val="000000"/>
        </w:rPr>
        <w:t xml:space="preserve"> Annual Report of the Department of Indian Affairs for the year ended 31 </w:t>
      </w:r>
      <w:proofErr w:type="gramStart"/>
      <w:r>
        <w:rPr>
          <w:color w:val="000000"/>
        </w:rPr>
        <w:t>Dec.,</w:t>
      </w:r>
      <w:proofErr w:type="gramEnd"/>
      <w:r>
        <w:rPr>
          <w:color w:val="000000"/>
        </w:rPr>
        <w:t xml:space="preserve"> 1884, Table of Farming Agencies, 198-9. </w:t>
      </w:r>
    </w:p>
  </w:footnote>
  <w:footnote w:id="147">
    <w:p w14:paraId="3C0D2B92" w14:textId="7494D7F6" w:rsidR="001360E4" w:rsidRDefault="001360E4">
      <w:pPr>
        <w:pStyle w:val="FootnoteText"/>
      </w:pPr>
      <w:r>
        <w:rPr>
          <w:rStyle w:val="FootnoteReference"/>
        </w:rPr>
        <w:footnoteRef/>
      </w:r>
      <w:r>
        <w:t xml:space="preserve"> </w:t>
      </w:r>
      <w:r>
        <w:rPr>
          <w:color w:val="000000"/>
        </w:rPr>
        <w:t xml:space="preserve">Canada, </w:t>
      </w:r>
      <w:r w:rsidRPr="001360E4">
        <w:rPr>
          <w:i/>
          <w:iCs/>
          <w:color w:val="000000"/>
        </w:rPr>
        <w:t>Sessional Papers,</w:t>
      </w:r>
      <w:r>
        <w:rPr>
          <w:color w:val="000000"/>
        </w:rPr>
        <w:t xml:space="preserve"> Annual Report of the Department of Indian Affairs for the year ended 31 </w:t>
      </w:r>
      <w:proofErr w:type="gramStart"/>
      <w:r>
        <w:rPr>
          <w:color w:val="000000"/>
        </w:rPr>
        <w:t>Dec.,</w:t>
      </w:r>
      <w:proofErr w:type="gramEnd"/>
      <w:r>
        <w:rPr>
          <w:color w:val="000000"/>
        </w:rPr>
        <w:t xml:space="preserve"> 1884, Statement showing the number of families in each Band who raised crops, 1884, Treaty, 204. </w:t>
      </w:r>
    </w:p>
  </w:footnote>
  <w:footnote w:id="148">
    <w:p w14:paraId="561AA67B" w14:textId="6839A4DB" w:rsidR="001360E4" w:rsidRDefault="001360E4">
      <w:pPr>
        <w:pStyle w:val="FootnoteText"/>
      </w:pPr>
      <w:r>
        <w:rPr>
          <w:rStyle w:val="FootnoteReference"/>
        </w:rPr>
        <w:footnoteRef/>
      </w:r>
      <w:r>
        <w:t xml:space="preserve"> </w:t>
      </w:r>
      <w:r w:rsidRPr="001360E4">
        <w:rPr>
          <w:color w:val="000000"/>
        </w:rPr>
        <w:t>LAC, RG 10 v. 3687, f. 18362</w:t>
      </w:r>
      <w:r>
        <w:rPr>
          <w:color w:val="000000"/>
        </w:rPr>
        <w:t xml:space="preserve">, S. Hockley to Indian Commissioner, 30 </w:t>
      </w:r>
      <w:proofErr w:type="gramStart"/>
      <w:r>
        <w:rPr>
          <w:color w:val="000000"/>
        </w:rPr>
        <w:t>Apr</w:t>
      </w:r>
      <w:r w:rsidR="00BA6375">
        <w:rPr>
          <w:color w:val="000000"/>
        </w:rPr>
        <w:t>.</w:t>
      </w:r>
      <w:r>
        <w:rPr>
          <w:color w:val="000000"/>
        </w:rPr>
        <w:t>,</w:t>
      </w:r>
      <w:proofErr w:type="gramEnd"/>
      <w:r>
        <w:rPr>
          <w:color w:val="000000"/>
        </w:rPr>
        <w:t xml:space="preserve"> 1884.</w:t>
      </w:r>
    </w:p>
  </w:footnote>
  <w:footnote w:id="149">
    <w:p w14:paraId="00A2AF44" w14:textId="231247DD" w:rsidR="001360E4" w:rsidRDefault="001360E4">
      <w:pPr>
        <w:pStyle w:val="FootnoteText"/>
      </w:pPr>
      <w:r>
        <w:rPr>
          <w:rStyle w:val="FootnoteReference"/>
        </w:rPr>
        <w:footnoteRef/>
      </w:r>
      <w:r>
        <w:t xml:space="preserve"> </w:t>
      </w:r>
      <w:r w:rsidRPr="001360E4">
        <w:rPr>
          <w:color w:val="000000"/>
        </w:rPr>
        <w:t>LAC, RG 10, v. 3682, f. 12, 667</w:t>
      </w:r>
      <w:r>
        <w:rPr>
          <w:color w:val="000000"/>
        </w:rPr>
        <w:t>,</w:t>
      </w:r>
      <w:r w:rsidRPr="001360E4">
        <w:rPr>
          <w:color w:val="000000"/>
        </w:rPr>
        <w:t xml:space="preserve"> Edgar</w:t>
      </w:r>
      <w:r>
        <w:rPr>
          <w:color w:val="000000"/>
        </w:rPr>
        <w:t xml:space="preserve"> Dewdney </w:t>
      </w:r>
      <w:r w:rsidRPr="001360E4">
        <w:rPr>
          <w:color w:val="000000"/>
        </w:rPr>
        <w:t xml:space="preserve">28 </w:t>
      </w:r>
      <w:proofErr w:type="gramStart"/>
      <w:r w:rsidRPr="001360E4">
        <w:rPr>
          <w:color w:val="000000"/>
        </w:rPr>
        <w:t>Apr</w:t>
      </w:r>
      <w:r>
        <w:rPr>
          <w:color w:val="000000"/>
        </w:rPr>
        <w:t>.,</w:t>
      </w:r>
      <w:proofErr w:type="gramEnd"/>
      <w:r w:rsidRPr="001360E4">
        <w:rPr>
          <w:color w:val="000000"/>
        </w:rPr>
        <w:t xml:space="preserve"> 1884</w:t>
      </w:r>
      <w:r>
        <w:rPr>
          <w:color w:val="000000"/>
        </w:rPr>
        <w:t>.</w:t>
      </w:r>
    </w:p>
  </w:footnote>
  <w:footnote w:id="150">
    <w:p w14:paraId="04FBE583" w14:textId="45A90445" w:rsidR="001360E4" w:rsidRDefault="001360E4">
      <w:pPr>
        <w:pStyle w:val="FootnoteText"/>
      </w:pPr>
      <w:r>
        <w:rPr>
          <w:rStyle w:val="FootnoteReference"/>
        </w:rPr>
        <w:footnoteRef/>
      </w:r>
      <w:r>
        <w:t xml:space="preserve"> </w:t>
      </w:r>
      <w:r w:rsidRPr="001360E4">
        <w:rPr>
          <w:color w:val="000000"/>
        </w:rPr>
        <w:t>LAC, RG 10 v. 3687, f. 18362</w:t>
      </w:r>
      <w:r>
        <w:rPr>
          <w:color w:val="000000"/>
        </w:rPr>
        <w:t xml:space="preserve">, S. Hockley to Indian Commissioner, 30 </w:t>
      </w:r>
      <w:proofErr w:type="gramStart"/>
      <w:r>
        <w:rPr>
          <w:color w:val="000000"/>
        </w:rPr>
        <w:t>Ap</w:t>
      </w:r>
      <w:r w:rsidR="00BA6375">
        <w:rPr>
          <w:color w:val="000000"/>
        </w:rPr>
        <w:t>r.</w:t>
      </w:r>
      <w:r>
        <w:rPr>
          <w:color w:val="000000"/>
        </w:rPr>
        <w:t>,</w:t>
      </w:r>
      <w:proofErr w:type="gramEnd"/>
      <w:r>
        <w:rPr>
          <w:color w:val="000000"/>
        </w:rPr>
        <w:t xml:space="preserve"> 1884.</w:t>
      </w:r>
    </w:p>
  </w:footnote>
  <w:footnote w:id="151">
    <w:p w14:paraId="4571D642" w14:textId="7C2205C6" w:rsidR="001360E4" w:rsidRDefault="001360E4">
      <w:pPr>
        <w:pStyle w:val="FootnoteText"/>
      </w:pPr>
      <w:r>
        <w:rPr>
          <w:rStyle w:val="FootnoteReference"/>
        </w:rPr>
        <w:footnoteRef/>
      </w:r>
      <w:r>
        <w:t xml:space="preserve"> </w:t>
      </w:r>
      <w:r>
        <w:rPr>
          <w:color w:val="000000"/>
        </w:rPr>
        <w:t xml:space="preserve">Canada, </w:t>
      </w:r>
      <w:r w:rsidRPr="001360E4">
        <w:rPr>
          <w:i/>
          <w:iCs/>
          <w:color w:val="000000"/>
        </w:rPr>
        <w:t>Sessional Papers</w:t>
      </w:r>
      <w:r>
        <w:rPr>
          <w:color w:val="000000"/>
        </w:rPr>
        <w:t xml:space="preserve">, 31 </w:t>
      </w:r>
      <w:proofErr w:type="gramStart"/>
      <w:r>
        <w:rPr>
          <w:color w:val="000000"/>
        </w:rPr>
        <w:t>Dec.,</w:t>
      </w:r>
      <w:proofErr w:type="gramEnd"/>
      <w:r>
        <w:rPr>
          <w:color w:val="000000"/>
        </w:rPr>
        <w:t xml:space="preserve"> 1884, A. Macdonald to the Superintendent General of Indian Affairs, 16 Sept., 1884, 66-7</w:t>
      </w:r>
      <w:r w:rsidR="006274E2">
        <w:rPr>
          <w:color w:val="000000"/>
        </w:rPr>
        <w:t xml:space="preserve">; </w:t>
      </w:r>
      <w:r w:rsidR="006274E2" w:rsidRPr="00CE7D4F">
        <w:rPr>
          <w:color w:val="000000" w:themeColor="text1"/>
        </w:rPr>
        <w:t xml:space="preserve">“The Qu’Appelle Treaty, Number Four,” Appendix Morris, </w:t>
      </w:r>
      <w:r w:rsidR="006274E2" w:rsidRPr="00CE7D4F">
        <w:rPr>
          <w:i/>
          <w:color w:val="000000" w:themeColor="text1"/>
        </w:rPr>
        <w:t>Treaties</w:t>
      </w:r>
      <w:r w:rsidR="006274E2" w:rsidRPr="00CE7D4F">
        <w:rPr>
          <w:color w:val="000000" w:themeColor="text1"/>
        </w:rPr>
        <w:t>, 330 – 335</w:t>
      </w:r>
      <w:r w:rsidR="006274E2">
        <w:rPr>
          <w:color w:val="000000" w:themeColor="text1"/>
        </w:rPr>
        <w:t xml:space="preserve">. </w:t>
      </w:r>
    </w:p>
  </w:footnote>
  <w:footnote w:id="152">
    <w:p w14:paraId="0000009B" w14:textId="77777777" w:rsidR="000E25E9" w:rsidRPr="00CE7D4F" w:rsidRDefault="00A5386A">
      <w:pPr>
        <w:rPr>
          <w:sz w:val="20"/>
          <w:szCs w:val="20"/>
        </w:rPr>
      </w:pPr>
      <w:r w:rsidRPr="00531C0F">
        <w:rPr>
          <w:rStyle w:val="FootnoteReference"/>
        </w:rPr>
        <w:footnoteRef/>
      </w:r>
      <w:r w:rsidRPr="00CE7D4F">
        <w:rPr>
          <w:sz w:val="20"/>
          <w:szCs w:val="20"/>
        </w:rPr>
        <w:t xml:space="preserve"> LAC, RG 10, v. 3665, f. 10,094 Interpreter (F.L. Hunt?) to Joseph Cauchon, 1.</w:t>
      </w:r>
    </w:p>
  </w:footnote>
  <w:footnote w:id="153">
    <w:p w14:paraId="0000009C" w14:textId="66FC8D7B" w:rsidR="000E25E9" w:rsidRDefault="00A5386A">
      <w:pPr>
        <w:rPr>
          <w:sz w:val="20"/>
          <w:szCs w:val="20"/>
        </w:rPr>
      </w:pPr>
      <w:r w:rsidRPr="00531C0F">
        <w:rPr>
          <w:rStyle w:val="FootnoteReference"/>
        </w:rPr>
        <w:footnoteRef/>
      </w:r>
      <w:r w:rsidRPr="00CE7D4F">
        <w:rPr>
          <w:sz w:val="20"/>
          <w:szCs w:val="20"/>
        </w:rPr>
        <w:t xml:space="preserve"> Carter</w:t>
      </w:r>
      <w:r w:rsidR="00F152CC">
        <w:rPr>
          <w:sz w:val="20"/>
          <w:szCs w:val="20"/>
        </w:rPr>
        <w:t>,</w:t>
      </w:r>
      <w:r w:rsidRPr="00CE7D4F">
        <w:rPr>
          <w:sz w:val="20"/>
          <w:szCs w:val="20"/>
        </w:rPr>
        <w:t xml:space="preserve"> “We Must Farm to Enable Us to Live,” 341.</w:t>
      </w:r>
    </w:p>
  </w:footnote>
  <w:footnote w:id="154">
    <w:p w14:paraId="6EA1D8D7" w14:textId="102D992C" w:rsidR="00F152CC" w:rsidRDefault="00F152CC">
      <w:pPr>
        <w:pStyle w:val="FootnoteText"/>
      </w:pPr>
      <w:r>
        <w:rPr>
          <w:rStyle w:val="FootnoteReference"/>
        </w:rPr>
        <w:footnoteRef/>
      </w:r>
      <w:r>
        <w:t xml:space="preserve"> </w:t>
      </w:r>
      <w:r w:rsidRPr="00CE7D4F">
        <w:t>Morin, "Perceptions of Implementation,”</w:t>
      </w:r>
      <w:r w:rsidRPr="001360E4">
        <w:t xml:space="preserve"> 1</w:t>
      </w:r>
      <w:r>
        <w:t xml:space="preserve">43. </w:t>
      </w:r>
    </w:p>
  </w:footnote>
  <w:footnote w:id="155">
    <w:p w14:paraId="09ADF73E" w14:textId="20C2A9E6" w:rsidR="00F152CC" w:rsidRPr="00F152CC" w:rsidRDefault="00F152CC" w:rsidP="00F152CC">
      <w:pPr>
        <w:rPr>
          <w:sz w:val="20"/>
          <w:szCs w:val="20"/>
        </w:rPr>
      </w:pPr>
      <w:r>
        <w:rPr>
          <w:rStyle w:val="FootnoteReference"/>
        </w:rPr>
        <w:footnoteRef/>
      </w:r>
      <w:r>
        <w:t xml:space="preserve"> </w:t>
      </w:r>
      <w:r w:rsidRPr="00CE7D4F">
        <w:rPr>
          <w:sz w:val="20"/>
          <w:szCs w:val="20"/>
        </w:rPr>
        <w:t>Albers, “Excerpt,” 9</w:t>
      </w:r>
      <w:r w:rsidR="00BA6375">
        <w:rPr>
          <w:sz w:val="20"/>
          <w:szCs w:val="20"/>
        </w:rPr>
        <w:t>.</w:t>
      </w:r>
    </w:p>
  </w:footnote>
  <w:footnote w:id="156">
    <w:p w14:paraId="6BC466A2" w14:textId="77777777" w:rsidR="00D04E9E" w:rsidRPr="00CE7D4F" w:rsidRDefault="00D04E9E" w:rsidP="00D04E9E">
      <w:pPr>
        <w:rPr>
          <w:sz w:val="20"/>
          <w:szCs w:val="20"/>
        </w:rPr>
      </w:pPr>
      <w:r w:rsidRPr="00531C0F">
        <w:rPr>
          <w:rStyle w:val="FootnoteReference"/>
        </w:rPr>
        <w:footnoteRef/>
      </w:r>
      <w:r w:rsidRPr="00CE7D4F">
        <w:rPr>
          <w:sz w:val="20"/>
          <w:szCs w:val="20"/>
        </w:rPr>
        <w:t xml:space="preserve"> Beal, “An Indian Chief,” 140-41</w:t>
      </w:r>
      <w:r>
        <w:rPr>
          <w:sz w:val="20"/>
          <w:szCs w:val="20"/>
        </w:rPr>
        <w:t>.</w:t>
      </w:r>
    </w:p>
  </w:footnote>
  <w:footnote w:id="157">
    <w:p w14:paraId="7FB910EE" w14:textId="5D099871" w:rsidR="00056D95" w:rsidRPr="00CE7D4F" w:rsidRDefault="00056D95" w:rsidP="00056D95">
      <w:pPr>
        <w:rPr>
          <w:sz w:val="20"/>
          <w:szCs w:val="20"/>
        </w:rPr>
      </w:pPr>
      <w:r>
        <w:rPr>
          <w:rStyle w:val="FootnoteReference"/>
        </w:rPr>
        <w:footnoteRef/>
      </w:r>
      <w:r>
        <w:t xml:space="preserve"> </w:t>
      </w:r>
      <w:r w:rsidRPr="00CE7D4F">
        <w:rPr>
          <w:sz w:val="20"/>
          <w:szCs w:val="20"/>
        </w:rPr>
        <w:t xml:space="preserve">Albers, “Expert,” </w:t>
      </w:r>
      <w:r>
        <w:rPr>
          <w:sz w:val="20"/>
          <w:szCs w:val="20"/>
        </w:rPr>
        <w:t>9</w:t>
      </w:r>
      <w:r w:rsidR="00F152CC">
        <w:rPr>
          <w:sz w:val="20"/>
          <w:szCs w:val="20"/>
        </w:rPr>
        <w:t xml:space="preserve">; </w:t>
      </w:r>
      <w:r w:rsidR="00F152CC" w:rsidRPr="00CE7D4F">
        <w:rPr>
          <w:sz w:val="20"/>
          <w:szCs w:val="20"/>
        </w:rPr>
        <w:t>Carter “We Must Farm to Enable Us to Live,” 341</w:t>
      </w:r>
      <w:r w:rsidR="00F152CC">
        <w:rPr>
          <w:sz w:val="20"/>
          <w:szCs w:val="20"/>
        </w:rPr>
        <w:t xml:space="preserve">-4. </w:t>
      </w:r>
    </w:p>
    <w:p w14:paraId="5F8643BD" w14:textId="79CB89F2" w:rsidR="00056D95" w:rsidRPr="00056D95" w:rsidRDefault="00056D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71680" w14:textId="77777777" w:rsidR="00CE7D4F" w:rsidRDefault="00CE7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5238F3E6" w:rsidR="000E25E9" w:rsidRDefault="00A5386A">
    <w:pPr>
      <w:jc w:val="right"/>
      <w:rPr>
        <w:sz w:val="20"/>
        <w:szCs w:val="20"/>
      </w:rPr>
    </w:pPr>
    <w:r>
      <w:rPr>
        <w:sz w:val="20"/>
        <w:szCs w:val="20"/>
      </w:rPr>
      <w:fldChar w:fldCharType="begin"/>
    </w:r>
    <w:r>
      <w:rPr>
        <w:sz w:val="20"/>
        <w:szCs w:val="20"/>
      </w:rPr>
      <w:instrText>PAGE</w:instrText>
    </w:r>
    <w:r>
      <w:rPr>
        <w:sz w:val="20"/>
        <w:szCs w:val="20"/>
      </w:rPr>
      <w:fldChar w:fldCharType="separate"/>
    </w:r>
    <w:r w:rsidR="00CE7D4F">
      <w:rPr>
        <w:noProof/>
        <w:sz w:val="20"/>
        <w:szCs w:val="20"/>
      </w:rPr>
      <w:t>1</w:t>
    </w:r>
    <w:r>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D" w14:textId="77777777" w:rsidR="000E25E9" w:rsidRDefault="000E25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95658"/>
    <w:multiLevelType w:val="hybridMultilevel"/>
    <w:tmpl w:val="9252FD32"/>
    <w:lvl w:ilvl="0" w:tplc="8428598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E9"/>
    <w:rsid w:val="00042F46"/>
    <w:rsid w:val="00056D95"/>
    <w:rsid w:val="000B7A48"/>
    <w:rsid w:val="000E25E9"/>
    <w:rsid w:val="0010419D"/>
    <w:rsid w:val="001321DF"/>
    <w:rsid w:val="001360E4"/>
    <w:rsid w:val="001C77AD"/>
    <w:rsid w:val="002048F0"/>
    <w:rsid w:val="002557E5"/>
    <w:rsid w:val="00284338"/>
    <w:rsid w:val="002D6F4F"/>
    <w:rsid w:val="00406738"/>
    <w:rsid w:val="00424F6F"/>
    <w:rsid w:val="004856E6"/>
    <w:rsid w:val="00496FDB"/>
    <w:rsid w:val="004C6009"/>
    <w:rsid w:val="00531C0F"/>
    <w:rsid w:val="00546390"/>
    <w:rsid w:val="006274E2"/>
    <w:rsid w:val="00661D50"/>
    <w:rsid w:val="006A7C5D"/>
    <w:rsid w:val="006C15D6"/>
    <w:rsid w:val="007B4DB3"/>
    <w:rsid w:val="007E1F5B"/>
    <w:rsid w:val="007E75E6"/>
    <w:rsid w:val="008148E2"/>
    <w:rsid w:val="00820D80"/>
    <w:rsid w:val="00852C27"/>
    <w:rsid w:val="008E179C"/>
    <w:rsid w:val="008E2E72"/>
    <w:rsid w:val="009B425D"/>
    <w:rsid w:val="009F0242"/>
    <w:rsid w:val="00A41A6D"/>
    <w:rsid w:val="00A5386A"/>
    <w:rsid w:val="00AB2E65"/>
    <w:rsid w:val="00AE6C60"/>
    <w:rsid w:val="00B00223"/>
    <w:rsid w:val="00B13F12"/>
    <w:rsid w:val="00B4279B"/>
    <w:rsid w:val="00BA149C"/>
    <w:rsid w:val="00BA6375"/>
    <w:rsid w:val="00C51655"/>
    <w:rsid w:val="00C517CD"/>
    <w:rsid w:val="00CD154A"/>
    <w:rsid w:val="00CE7D4F"/>
    <w:rsid w:val="00D04E9E"/>
    <w:rsid w:val="00D31077"/>
    <w:rsid w:val="00D82932"/>
    <w:rsid w:val="00DB2B11"/>
    <w:rsid w:val="00DF6361"/>
    <w:rsid w:val="00E3632D"/>
    <w:rsid w:val="00E647F1"/>
    <w:rsid w:val="00F152CC"/>
    <w:rsid w:val="00F90757"/>
    <w:rsid w:val="00FA1ADF"/>
    <w:rsid w:val="00FE4E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0790A"/>
  <w15:docId w15:val="{49EE840F-04E2-A048-B7C5-5ACC2EE4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0E4"/>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E7D4F"/>
    <w:pPr>
      <w:tabs>
        <w:tab w:val="center" w:pos="4680"/>
        <w:tab w:val="right" w:pos="9360"/>
      </w:tabs>
    </w:pPr>
  </w:style>
  <w:style w:type="character" w:customStyle="1" w:styleId="HeaderChar">
    <w:name w:val="Header Char"/>
    <w:basedOn w:val="DefaultParagraphFont"/>
    <w:link w:val="Header"/>
    <w:uiPriority w:val="99"/>
    <w:rsid w:val="00CE7D4F"/>
  </w:style>
  <w:style w:type="paragraph" w:styleId="Footer">
    <w:name w:val="footer"/>
    <w:basedOn w:val="Normal"/>
    <w:link w:val="FooterChar"/>
    <w:uiPriority w:val="99"/>
    <w:unhideWhenUsed/>
    <w:rsid w:val="00CE7D4F"/>
    <w:pPr>
      <w:tabs>
        <w:tab w:val="center" w:pos="4680"/>
        <w:tab w:val="right" w:pos="9360"/>
      </w:tabs>
    </w:pPr>
  </w:style>
  <w:style w:type="character" w:customStyle="1" w:styleId="FooterChar">
    <w:name w:val="Footer Char"/>
    <w:basedOn w:val="DefaultParagraphFont"/>
    <w:link w:val="Footer"/>
    <w:uiPriority w:val="99"/>
    <w:rsid w:val="00CE7D4F"/>
  </w:style>
  <w:style w:type="paragraph" w:styleId="NormalWeb">
    <w:name w:val="Normal (Web)"/>
    <w:basedOn w:val="Normal"/>
    <w:uiPriority w:val="99"/>
    <w:unhideWhenUsed/>
    <w:rsid w:val="002048F0"/>
    <w:pPr>
      <w:spacing w:before="100" w:beforeAutospacing="1" w:after="100" w:afterAutospacing="1"/>
    </w:pPr>
  </w:style>
  <w:style w:type="character" w:styleId="Hyperlink">
    <w:name w:val="Hyperlink"/>
    <w:basedOn w:val="DefaultParagraphFont"/>
    <w:uiPriority w:val="99"/>
    <w:unhideWhenUsed/>
    <w:rsid w:val="002048F0"/>
    <w:rPr>
      <w:color w:val="0000FF"/>
      <w:u w:val="single"/>
    </w:rPr>
  </w:style>
  <w:style w:type="character" w:customStyle="1" w:styleId="apple-converted-space">
    <w:name w:val="apple-converted-space"/>
    <w:basedOn w:val="DefaultParagraphFont"/>
    <w:rsid w:val="00AB2E65"/>
  </w:style>
  <w:style w:type="character" w:styleId="EndnoteReference">
    <w:name w:val="endnote reference"/>
    <w:basedOn w:val="DefaultParagraphFont"/>
    <w:uiPriority w:val="99"/>
    <w:semiHidden/>
    <w:unhideWhenUsed/>
    <w:rsid w:val="00531C0F"/>
    <w:rPr>
      <w:vertAlign w:val="superscript"/>
    </w:rPr>
  </w:style>
  <w:style w:type="character" w:styleId="FootnoteReference">
    <w:name w:val="footnote reference"/>
    <w:basedOn w:val="DefaultParagraphFont"/>
    <w:uiPriority w:val="99"/>
    <w:semiHidden/>
    <w:unhideWhenUsed/>
    <w:rsid w:val="00531C0F"/>
    <w:rPr>
      <w:vertAlign w:val="superscript"/>
    </w:rPr>
  </w:style>
  <w:style w:type="paragraph" w:styleId="ListParagraph">
    <w:name w:val="List Paragraph"/>
    <w:basedOn w:val="Normal"/>
    <w:uiPriority w:val="34"/>
    <w:qFormat/>
    <w:rsid w:val="008E179C"/>
    <w:pPr>
      <w:ind w:left="720"/>
      <w:contextualSpacing/>
    </w:pPr>
  </w:style>
  <w:style w:type="character" w:styleId="UnresolvedMention">
    <w:name w:val="Unresolved Mention"/>
    <w:basedOn w:val="DefaultParagraphFont"/>
    <w:uiPriority w:val="99"/>
    <w:semiHidden/>
    <w:unhideWhenUsed/>
    <w:rsid w:val="00D04E9E"/>
    <w:rPr>
      <w:color w:val="605E5C"/>
      <w:shd w:val="clear" w:color="auto" w:fill="E1DFDD"/>
    </w:rPr>
  </w:style>
  <w:style w:type="paragraph" w:styleId="FootnoteText">
    <w:name w:val="footnote text"/>
    <w:basedOn w:val="Normal"/>
    <w:link w:val="FootnoteTextChar"/>
    <w:uiPriority w:val="99"/>
    <w:semiHidden/>
    <w:unhideWhenUsed/>
    <w:rsid w:val="00056D95"/>
    <w:rPr>
      <w:sz w:val="20"/>
      <w:szCs w:val="20"/>
    </w:rPr>
  </w:style>
  <w:style w:type="character" w:customStyle="1" w:styleId="FootnoteTextChar">
    <w:name w:val="Footnote Text Char"/>
    <w:basedOn w:val="DefaultParagraphFont"/>
    <w:link w:val="FootnoteText"/>
    <w:uiPriority w:val="99"/>
    <w:semiHidden/>
    <w:rsid w:val="00056D95"/>
    <w:rPr>
      <w:sz w:val="20"/>
      <w:szCs w:val="20"/>
    </w:rPr>
  </w:style>
  <w:style w:type="character" w:styleId="FollowedHyperlink">
    <w:name w:val="FollowedHyperlink"/>
    <w:basedOn w:val="DefaultParagraphFont"/>
    <w:uiPriority w:val="99"/>
    <w:semiHidden/>
    <w:unhideWhenUsed/>
    <w:rsid w:val="00F152CC"/>
    <w:rPr>
      <w:color w:val="800080" w:themeColor="followedHyperlink"/>
      <w:u w:val="single"/>
    </w:rPr>
  </w:style>
  <w:style w:type="character" w:styleId="Emphasis">
    <w:name w:val="Emphasis"/>
    <w:basedOn w:val="DefaultParagraphFont"/>
    <w:uiPriority w:val="20"/>
    <w:qFormat/>
    <w:rsid w:val="00F152CC"/>
    <w:rPr>
      <w:i/>
      <w:iCs/>
    </w:rPr>
  </w:style>
  <w:style w:type="character" w:customStyle="1" w:styleId="permalink">
    <w:name w:val="permalink"/>
    <w:basedOn w:val="DefaultParagraphFont"/>
    <w:rsid w:val="00F1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6722">
      <w:bodyDiv w:val="1"/>
      <w:marLeft w:val="0"/>
      <w:marRight w:val="0"/>
      <w:marTop w:val="0"/>
      <w:marBottom w:val="0"/>
      <w:divBdr>
        <w:top w:val="none" w:sz="0" w:space="0" w:color="auto"/>
        <w:left w:val="none" w:sz="0" w:space="0" w:color="auto"/>
        <w:bottom w:val="none" w:sz="0" w:space="0" w:color="auto"/>
        <w:right w:val="none" w:sz="0" w:space="0" w:color="auto"/>
      </w:divBdr>
    </w:div>
    <w:div w:id="81797695">
      <w:bodyDiv w:val="1"/>
      <w:marLeft w:val="0"/>
      <w:marRight w:val="0"/>
      <w:marTop w:val="0"/>
      <w:marBottom w:val="0"/>
      <w:divBdr>
        <w:top w:val="none" w:sz="0" w:space="0" w:color="auto"/>
        <w:left w:val="none" w:sz="0" w:space="0" w:color="auto"/>
        <w:bottom w:val="none" w:sz="0" w:space="0" w:color="auto"/>
        <w:right w:val="none" w:sz="0" w:space="0" w:color="auto"/>
      </w:divBdr>
    </w:div>
    <w:div w:id="137496507">
      <w:bodyDiv w:val="1"/>
      <w:marLeft w:val="0"/>
      <w:marRight w:val="0"/>
      <w:marTop w:val="0"/>
      <w:marBottom w:val="0"/>
      <w:divBdr>
        <w:top w:val="none" w:sz="0" w:space="0" w:color="auto"/>
        <w:left w:val="none" w:sz="0" w:space="0" w:color="auto"/>
        <w:bottom w:val="none" w:sz="0" w:space="0" w:color="auto"/>
        <w:right w:val="none" w:sz="0" w:space="0" w:color="auto"/>
      </w:divBdr>
    </w:div>
    <w:div w:id="143207178">
      <w:bodyDiv w:val="1"/>
      <w:marLeft w:val="0"/>
      <w:marRight w:val="0"/>
      <w:marTop w:val="0"/>
      <w:marBottom w:val="0"/>
      <w:divBdr>
        <w:top w:val="none" w:sz="0" w:space="0" w:color="auto"/>
        <w:left w:val="none" w:sz="0" w:space="0" w:color="auto"/>
        <w:bottom w:val="none" w:sz="0" w:space="0" w:color="auto"/>
        <w:right w:val="none" w:sz="0" w:space="0" w:color="auto"/>
      </w:divBdr>
    </w:div>
    <w:div w:id="250745881">
      <w:bodyDiv w:val="1"/>
      <w:marLeft w:val="0"/>
      <w:marRight w:val="0"/>
      <w:marTop w:val="0"/>
      <w:marBottom w:val="0"/>
      <w:divBdr>
        <w:top w:val="none" w:sz="0" w:space="0" w:color="auto"/>
        <w:left w:val="none" w:sz="0" w:space="0" w:color="auto"/>
        <w:bottom w:val="none" w:sz="0" w:space="0" w:color="auto"/>
        <w:right w:val="none" w:sz="0" w:space="0" w:color="auto"/>
      </w:divBdr>
    </w:div>
    <w:div w:id="298727543">
      <w:bodyDiv w:val="1"/>
      <w:marLeft w:val="0"/>
      <w:marRight w:val="0"/>
      <w:marTop w:val="0"/>
      <w:marBottom w:val="0"/>
      <w:divBdr>
        <w:top w:val="none" w:sz="0" w:space="0" w:color="auto"/>
        <w:left w:val="none" w:sz="0" w:space="0" w:color="auto"/>
        <w:bottom w:val="none" w:sz="0" w:space="0" w:color="auto"/>
        <w:right w:val="none" w:sz="0" w:space="0" w:color="auto"/>
      </w:divBdr>
    </w:div>
    <w:div w:id="303438983">
      <w:bodyDiv w:val="1"/>
      <w:marLeft w:val="0"/>
      <w:marRight w:val="0"/>
      <w:marTop w:val="0"/>
      <w:marBottom w:val="0"/>
      <w:divBdr>
        <w:top w:val="none" w:sz="0" w:space="0" w:color="auto"/>
        <w:left w:val="none" w:sz="0" w:space="0" w:color="auto"/>
        <w:bottom w:val="none" w:sz="0" w:space="0" w:color="auto"/>
        <w:right w:val="none" w:sz="0" w:space="0" w:color="auto"/>
      </w:divBdr>
    </w:div>
    <w:div w:id="378818409">
      <w:bodyDiv w:val="1"/>
      <w:marLeft w:val="0"/>
      <w:marRight w:val="0"/>
      <w:marTop w:val="0"/>
      <w:marBottom w:val="0"/>
      <w:divBdr>
        <w:top w:val="none" w:sz="0" w:space="0" w:color="auto"/>
        <w:left w:val="none" w:sz="0" w:space="0" w:color="auto"/>
        <w:bottom w:val="none" w:sz="0" w:space="0" w:color="auto"/>
        <w:right w:val="none" w:sz="0" w:space="0" w:color="auto"/>
      </w:divBdr>
    </w:div>
    <w:div w:id="380522462">
      <w:bodyDiv w:val="1"/>
      <w:marLeft w:val="0"/>
      <w:marRight w:val="0"/>
      <w:marTop w:val="0"/>
      <w:marBottom w:val="0"/>
      <w:divBdr>
        <w:top w:val="none" w:sz="0" w:space="0" w:color="auto"/>
        <w:left w:val="none" w:sz="0" w:space="0" w:color="auto"/>
        <w:bottom w:val="none" w:sz="0" w:space="0" w:color="auto"/>
        <w:right w:val="none" w:sz="0" w:space="0" w:color="auto"/>
      </w:divBdr>
    </w:div>
    <w:div w:id="399447839">
      <w:bodyDiv w:val="1"/>
      <w:marLeft w:val="0"/>
      <w:marRight w:val="0"/>
      <w:marTop w:val="0"/>
      <w:marBottom w:val="0"/>
      <w:divBdr>
        <w:top w:val="none" w:sz="0" w:space="0" w:color="auto"/>
        <w:left w:val="none" w:sz="0" w:space="0" w:color="auto"/>
        <w:bottom w:val="none" w:sz="0" w:space="0" w:color="auto"/>
        <w:right w:val="none" w:sz="0" w:space="0" w:color="auto"/>
      </w:divBdr>
    </w:div>
    <w:div w:id="404762819">
      <w:bodyDiv w:val="1"/>
      <w:marLeft w:val="0"/>
      <w:marRight w:val="0"/>
      <w:marTop w:val="0"/>
      <w:marBottom w:val="0"/>
      <w:divBdr>
        <w:top w:val="none" w:sz="0" w:space="0" w:color="auto"/>
        <w:left w:val="none" w:sz="0" w:space="0" w:color="auto"/>
        <w:bottom w:val="none" w:sz="0" w:space="0" w:color="auto"/>
        <w:right w:val="none" w:sz="0" w:space="0" w:color="auto"/>
      </w:divBdr>
    </w:div>
    <w:div w:id="434593213">
      <w:bodyDiv w:val="1"/>
      <w:marLeft w:val="0"/>
      <w:marRight w:val="0"/>
      <w:marTop w:val="0"/>
      <w:marBottom w:val="0"/>
      <w:divBdr>
        <w:top w:val="none" w:sz="0" w:space="0" w:color="auto"/>
        <w:left w:val="none" w:sz="0" w:space="0" w:color="auto"/>
        <w:bottom w:val="none" w:sz="0" w:space="0" w:color="auto"/>
        <w:right w:val="none" w:sz="0" w:space="0" w:color="auto"/>
      </w:divBdr>
    </w:div>
    <w:div w:id="435946949">
      <w:bodyDiv w:val="1"/>
      <w:marLeft w:val="0"/>
      <w:marRight w:val="0"/>
      <w:marTop w:val="0"/>
      <w:marBottom w:val="0"/>
      <w:divBdr>
        <w:top w:val="none" w:sz="0" w:space="0" w:color="auto"/>
        <w:left w:val="none" w:sz="0" w:space="0" w:color="auto"/>
        <w:bottom w:val="none" w:sz="0" w:space="0" w:color="auto"/>
        <w:right w:val="none" w:sz="0" w:space="0" w:color="auto"/>
      </w:divBdr>
    </w:div>
    <w:div w:id="439909776">
      <w:bodyDiv w:val="1"/>
      <w:marLeft w:val="0"/>
      <w:marRight w:val="0"/>
      <w:marTop w:val="0"/>
      <w:marBottom w:val="0"/>
      <w:divBdr>
        <w:top w:val="none" w:sz="0" w:space="0" w:color="auto"/>
        <w:left w:val="none" w:sz="0" w:space="0" w:color="auto"/>
        <w:bottom w:val="none" w:sz="0" w:space="0" w:color="auto"/>
        <w:right w:val="none" w:sz="0" w:space="0" w:color="auto"/>
      </w:divBdr>
    </w:div>
    <w:div w:id="473107697">
      <w:bodyDiv w:val="1"/>
      <w:marLeft w:val="0"/>
      <w:marRight w:val="0"/>
      <w:marTop w:val="0"/>
      <w:marBottom w:val="0"/>
      <w:divBdr>
        <w:top w:val="none" w:sz="0" w:space="0" w:color="auto"/>
        <w:left w:val="none" w:sz="0" w:space="0" w:color="auto"/>
        <w:bottom w:val="none" w:sz="0" w:space="0" w:color="auto"/>
        <w:right w:val="none" w:sz="0" w:space="0" w:color="auto"/>
      </w:divBdr>
    </w:div>
    <w:div w:id="479467100">
      <w:bodyDiv w:val="1"/>
      <w:marLeft w:val="0"/>
      <w:marRight w:val="0"/>
      <w:marTop w:val="0"/>
      <w:marBottom w:val="0"/>
      <w:divBdr>
        <w:top w:val="none" w:sz="0" w:space="0" w:color="auto"/>
        <w:left w:val="none" w:sz="0" w:space="0" w:color="auto"/>
        <w:bottom w:val="none" w:sz="0" w:space="0" w:color="auto"/>
        <w:right w:val="none" w:sz="0" w:space="0" w:color="auto"/>
      </w:divBdr>
    </w:div>
    <w:div w:id="519664294">
      <w:bodyDiv w:val="1"/>
      <w:marLeft w:val="0"/>
      <w:marRight w:val="0"/>
      <w:marTop w:val="0"/>
      <w:marBottom w:val="0"/>
      <w:divBdr>
        <w:top w:val="none" w:sz="0" w:space="0" w:color="auto"/>
        <w:left w:val="none" w:sz="0" w:space="0" w:color="auto"/>
        <w:bottom w:val="none" w:sz="0" w:space="0" w:color="auto"/>
        <w:right w:val="none" w:sz="0" w:space="0" w:color="auto"/>
      </w:divBdr>
      <w:divsChild>
        <w:div w:id="1176727324">
          <w:marLeft w:val="0"/>
          <w:marRight w:val="0"/>
          <w:marTop w:val="0"/>
          <w:marBottom w:val="0"/>
          <w:divBdr>
            <w:top w:val="none" w:sz="0" w:space="0" w:color="auto"/>
            <w:left w:val="none" w:sz="0" w:space="0" w:color="auto"/>
            <w:bottom w:val="none" w:sz="0" w:space="0" w:color="auto"/>
            <w:right w:val="none" w:sz="0" w:space="0" w:color="auto"/>
          </w:divBdr>
          <w:divsChild>
            <w:div w:id="743375010">
              <w:marLeft w:val="0"/>
              <w:marRight w:val="0"/>
              <w:marTop w:val="0"/>
              <w:marBottom w:val="0"/>
              <w:divBdr>
                <w:top w:val="none" w:sz="0" w:space="0" w:color="auto"/>
                <w:left w:val="none" w:sz="0" w:space="0" w:color="auto"/>
                <w:bottom w:val="none" w:sz="0" w:space="0" w:color="auto"/>
                <w:right w:val="none" w:sz="0" w:space="0" w:color="auto"/>
              </w:divBdr>
              <w:divsChild>
                <w:div w:id="18518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00146">
      <w:bodyDiv w:val="1"/>
      <w:marLeft w:val="0"/>
      <w:marRight w:val="0"/>
      <w:marTop w:val="0"/>
      <w:marBottom w:val="0"/>
      <w:divBdr>
        <w:top w:val="none" w:sz="0" w:space="0" w:color="auto"/>
        <w:left w:val="none" w:sz="0" w:space="0" w:color="auto"/>
        <w:bottom w:val="none" w:sz="0" w:space="0" w:color="auto"/>
        <w:right w:val="none" w:sz="0" w:space="0" w:color="auto"/>
      </w:divBdr>
    </w:div>
    <w:div w:id="679623324">
      <w:bodyDiv w:val="1"/>
      <w:marLeft w:val="0"/>
      <w:marRight w:val="0"/>
      <w:marTop w:val="0"/>
      <w:marBottom w:val="0"/>
      <w:divBdr>
        <w:top w:val="none" w:sz="0" w:space="0" w:color="auto"/>
        <w:left w:val="none" w:sz="0" w:space="0" w:color="auto"/>
        <w:bottom w:val="none" w:sz="0" w:space="0" w:color="auto"/>
        <w:right w:val="none" w:sz="0" w:space="0" w:color="auto"/>
      </w:divBdr>
    </w:div>
    <w:div w:id="688142290">
      <w:bodyDiv w:val="1"/>
      <w:marLeft w:val="0"/>
      <w:marRight w:val="0"/>
      <w:marTop w:val="0"/>
      <w:marBottom w:val="0"/>
      <w:divBdr>
        <w:top w:val="none" w:sz="0" w:space="0" w:color="auto"/>
        <w:left w:val="none" w:sz="0" w:space="0" w:color="auto"/>
        <w:bottom w:val="none" w:sz="0" w:space="0" w:color="auto"/>
        <w:right w:val="none" w:sz="0" w:space="0" w:color="auto"/>
      </w:divBdr>
    </w:div>
    <w:div w:id="710301277">
      <w:bodyDiv w:val="1"/>
      <w:marLeft w:val="0"/>
      <w:marRight w:val="0"/>
      <w:marTop w:val="0"/>
      <w:marBottom w:val="0"/>
      <w:divBdr>
        <w:top w:val="none" w:sz="0" w:space="0" w:color="auto"/>
        <w:left w:val="none" w:sz="0" w:space="0" w:color="auto"/>
        <w:bottom w:val="none" w:sz="0" w:space="0" w:color="auto"/>
        <w:right w:val="none" w:sz="0" w:space="0" w:color="auto"/>
      </w:divBdr>
    </w:div>
    <w:div w:id="813376645">
      <w:bodyDiv w:val="1"/>
      <w:marLeft w:val="0"/>
      <w:marRight w:val="0"/>
      <w:marTop w:val="0"/>
      <w:marBottom w:val="0"/>
      <w:divBdr>
        <w:top w:val="none" w:sz="0" w:space="0" w:color="auto"/>
        <w:left w:val="none" w:sz="0" w:space="0" w:color="auto"/>
        <w:bottom w:val="none" w:sz="0" w:space="0" w:color="auto"/>
        <w:right w:val="none" w:sz="0" w:space="0" w:color="auto"/>
      </w:divBdr>
    </w:div>
    <w:div w:id="909460515">
      <w:bodyDiv w:val="1"/>
      <w:marLeft w:val="0"/>
      <w:marRight w:val="0"/>
      <w:marTop w:val="0"/>
      <w:marBottom w:val="0"/>
      <w:divBdr>
        <w:top w:val="none" w:sz="0" w:space="0" w:color="auto"/>
        <w:left w:val="none" w:sz="0" w:space="0" w:color="auto"/>
        <w:bottom w:val="none" w:sz="0" w:space="0" w:color="auto"/>
        <w:right w:val="none" w:sz="0" w:space="0" w:color="auto"/>
      </w:divBdr>
    </w:div>
    <w:div w:id="935333324">
      <w:bodyDiv w:val="1"/>
      <w:marLeft w:val="0"/>
      <w:marRight w:val="0"/>
      <w:marTop w:val="0"/>
      <w:marBottom w:val="0"/>
      <w:divBdr>
        <w:top w:val="none" w:sz="0" w:space="0" w:color="auto"/>
        <w:left w:val="none" w:sz="0" w:space="0" w:color="auto"/>
        <w:bottom w:val="none" w:sz="0" w:space="0" w:color="auto"/>
        <w:right w:val="none" w:sz="0" w:space="0" w:color="auto"/>
      </w:divBdr>
    </w:div>
    <w:div w:id="948126776">
      <w:bodyDiv w:val="1"/>
      <w:marLeft w:val="0"/>
      <w:marRight w:val="0"/>
      <w:marTop w:val="0"/>
      <w:marBottom w:val="0"/>
      <w:divBdr>
        <w:top w:val="none" w:sz="0" w:space="0" w:color="auto"/>
        <w:left w:val="none" w:sz="0" w:space="0" w:color="auto"/>
        <w:bottom w:val="none" w:sz="0" w:space="0" w:color="auto"/>
        <w:right w:val="none" w:sz="0" w:space="0" w:color="auto"/>
      </w:divBdr>
    </w:div>
    <w:div w:id="962418328">
      <w:bodyDiv w:val="1"/>
      <w:marLeft w:val="0"/>
      <w:marRight w:val="0"/>
      <w:marTop w:val="0"/>
      <w:marBottom w:val="0"/>
      <w:divBdr>
        <w:top w:val="none" w:sz="0" w:space="0" w:color="auto"/>
        <w:left w:val="none" w:sz="0" w:space="0" w:color="auto"/>
        <w:bottom w:val="none" w:sz="0" w:space="0" w:color="auto"/>
        <w:right w:val="none" w:sz="0" w:space="0" w:color="auto"/>
      </w:divBdr>
    </w:div>
    <w:div w:id="1048455842">
      <w:bodyDiv w:val="1"/>
      <w:marLeft w:val="0"/>
      <w:marRight w:val="0"/>
      <w:marTop w:val="0"/>
      <w:marBottom w:val="0"/>
      <w:divBdr>
        <w:top w:val="none" w:sz="0" w:space="0" w:color="auto"/>
        <w:left w:val="none" w:sz="0" w:space="0" w:color="auto"/>
        <w:bottom w:val="none" w:sz="0" w:space="0" w:color="auto"/>
        <w:right w:val="none" w:sz="0" w:space="0" w:color="auto"/>
      </w:divBdr>
    </w:div>
    <w:div w:id="1083836453">
      <w:bodyDiv w:val="1"/>
      <w:marLeft w:val="0"/>
      <w:marRight w:val="0"/>
      <w:marTop w:val="0"/>
      <w:marBottom w:val="0"/>
      <w:divBdr>
        <w:top w:val="none" w:sz="0" w:space="0" w:color="auto"/>
        <w:left w:val="none" w:sz="0" w:space="0" w:color="auto"/>
        <w:bottom w:val="none" w:sz="0" w:space="0" w:color="auto"/>
        <w:right w:val="none" w:sz="0" w:space="0" w:color="auto"/>
      </w:divBdr>
    </w:div>
    <w:div w:id="1103303944">
      <w:bodyDiv w:val="1"/>
      <w:marLeft w:val="0"/>
      <w:marRight w:val="0"/>
      <w:marTop w:val="0"/>
      <w:marBottom w:val="0"/>
      <w:divBdr>
        <w:top w:val="none" w:sz="0" w:space="0" w:color="auto"/>
        <w:left w:val="none" w:sz="0" w:space="0" w:color="auto"/>
        <w:bottom w:val="none" w:sz="0" w:space="0" w:color="auto"/>
        <w:right w:val="none" w:sz="0" w:space="0" w:color="auto"/>
      </w:divBdr>
    </w:div>
    <w:div w:id="1121001019">
      <w:bodyDiv w:val="1"/>
      <w:marLeft w:val="0"/>
      <w:marRight w:val="0"/>
      <w:marTop w:val="0"/>
      <w:marBottom w:val="0"/>
      <w:divBdr>
        <w:top w:val="none" w:sz="0" w:space="0" w:color="auto"/>
        <w:left w:val="none" w:sz="0" w:space="0" w:color="auto"/>
        <w:bottom w:val="none" w:sz="0" w:space="0" w:color="auto"/>
        <w:right w:val="none" w:sz="0" w:space="0" w:color="auto"/>
      </w:divBdr>
    </w:div>
    <w:div w:id="1153832055">
      <w:bodyDiv w:val="1"/>
      <w:marLeft w:val="0"/>
      <w:marRight w:val="0"/>
      <w:marTop w:val="0"/>
      <w:marBottom w:val="0"/>
      <w:divBdr>
        <w:top w:val="none" w:sz="0" w:space="0" w:color="auto"/>
        <w:left w:val="none" w:sz="0" w:space="0" w:color="auto"/>
        <w:bottom w:val="none" w:sz="0" w:space="0" w:color="auto"/>
        <w:right w:val="none" w:sz="0" w:space="0" w:color="auto"/>
      </w:divBdr>
    </w:div>
    <w:div w:id="1156453079">
      <w:bodyDiv w:val="1"/>
      <w:marLeft w:val="0"/>
      <w:marRight w:val="0"/>
      <w:marTop w:val="0"/>
      <w:marBottom w:val="0"/>
      <w:divBdr>
        <w:top w:val="none" w:sz="0" w:space="0" w:color="auto"/>
        <w:left w:val="none" w:sz="0" w:space="0" w:color="auto"/>
        <w:bottom w:val="none" w:sz="0" w:space="0" w:color="auto"/>
        <w:right w:val="none" w:sz="0" w:space="0" w:color="auto"/>
      </w:divBdr>
    </w:div>
    <w:div w:id="1163087561">
      <w:bodyDiv w:val="1"/>
      <w:marLeft w:val="0"/>
      <w:marRight w:val="0"/>
      <w:marTop w:val="0"/>
      <w:marBottom w:val="0"/>
      <w:divBdr>
        <w:top w:val="none" w:sz="0" w:space="0" w:color="auto"/>
        <w:left w:val="none" w:sz="0" w:space="0" w:color="auto"/>
        <w:bottom w:val="none" w:sz="0" w:space="0" w:color="auto"/>
        <w:right w:val="none" w:sz="0" w:space="0" w:color="auto"/>
      </w:divBdr>
    </w:div>
    <w:div w:id="1303803940">
      <w:bodyDiv w:val="1"/>
      <w:marLeft w:val="0"/>
      <w:marRight w:val="0"/>
      <w:marTop w:val="0"/>
      <w:marBottom w:val="0"/>
      <w:divBdr>
        <w:top w:val="none" w:sz="0" w:space="0" w:color="auto"/>
        <w:left w:val="none" w:sz="0" w:space="0" w:color="auto"/>
        <w:bottom w:val="none" w:sz="0" w:space="0" w:color="auto"/>
        <w:right w:val="none" w:sz="0" w:space="0" w:color="auto"/>
      </w:divBdr>
    </w:div>
    <w:div w:id="1321159559">
      <w:bodyDiv w:val="1"/>
      <w:marLeft w:val="0"/>
      <w:marRight w:val="0"/>
      <w:marTop w:val="0"/>
      <w:marBottom w:val="0"/>
      <w:divBdr>
        <w:top w:val="none" w:sz="0" w:space="0" w:color="auto"/>
        <w:left w:val="none" w:sz="0" w:space="0" w:color="auto"/>
        <w:bottom w:val="none" w:sz="0" w:space="0" w:color="auto"/>
        <w:right w:val="none" w:sz="0" w:space="0" w:color="auto"/>
      </w:divBdr>
    </w:div>
    <w:div w:id="1325427191">
      <w:bodyDiv w:val="1"/>
      <w:marLeft w:val="0"/>
      <w:marRight w:val="0"/>
      <w:marTop w:val="0"/>
      <w:marBottom w:val="0"/>
      <w:divBdr>
        <w:top w:val="none" w:sz="0" w:space="0" w:color="auto"/>
        <w:left w:val="none" w:sz="0" w:space="0" w:color="auto"/>
        <w:bottom w:val="none" w:sz="0" w:space="0" w:color="auto"/>
        <w:right w:val="none" w:sz="0" w:space="0" w:color="auto"/>
      </w:divBdr>
    </w:div>
    <w:div w:id="1330868187">
      <w:bodyDiv w:val="1"/>
      <w:marLeft w:val="0"/>
      <w:marRight w:val="0"/>
      <w:marTop w:val="0"/>
      <w:marBottom w:val="0"/>
      <w:divBdr>
        <w:top w:val="none" w:sz="0" w:space="0" w:color="auto"/>
        <w:left w:val="none" w:sz="0" w:space="0" w:color="auto"/>
        <w:bottom w:val="none" w:sz="0" w:space="0" w:color="auto"/>
        <w:right w:val="none" w:sz="0" w:space="0" w:color="auto"/>
      </w:divBdr>
    </w:div>
    <w:div w:id="1358969206">
      <w:bodyDiv w:val="1"/>
      <w:marLeft w:val="0"/>
      <w:marRight w:val="0"/>
      <w:marTop w:val="0"/>
      <w:marBottom w:val="0"/>
      <w:divBdr>
        <w:top w:val="none" w:sz="0" w:space="0" w:color="auto"/>
        <w:left w:val="none" w:sz="0" w:space="0" w:color="auto"/>
        <w:bottom w:val="none" w:sz="0" w:space="0" w:color="auto"/>
        <w:right w:val="none" w:sz="0" w:space="0" w:color="auto"/>
      </w:divBdr>
    </w:div>
    <w:div w:id="1401714926">
      <w:bodyDiv w:val="1"/>
      <w:marLeft w:val="0"/>
      <w:marRight w:val="0"/>
      <w:marTop w:val="0"/>
      <w:marBottom w:val="0"/>
      <w:divBdr>
        <w:top w:val="none" w:sz="0" w:space="0" w:color="auto"/>
        <w:left w:val="none" w:sz="0" w:space="0" w:color="auto"/>
        <w:bottom w:val="none" w:sz="0" w:space="0" w:color="auto"/>
        <w:right w:val="none" w:sz="0" w:space="0" w:color="auto"/>
      </w:divBdr>
    </w:div>
    <w:div w:id="1405840555">
      <w:bodyDiv w:val="1"/>
      <w:marLeft w:val="0"/>
      <w:marRight w:val="0"/>
      <w:marTop w:val="0"/>
      <w:marBottom w:val="0"/>
      <w:divBdr>
        <w:top w:val="none" w:sz="0" w:space="0" w:color="auto"/>
        <w:left w:val="none" w:sz="0" w:space="0" w:color="auto"/>
        <w:bottom w:val="none" w:sz="0" w:space="0" w:color="auto"/>
        <w:right w:val="none" w:sz="0" w:space="0" w:color="auto"/>
      </w:divBdr>
    </w:div>
    <w:div w:id="1420104242">
      <w:bodyDiv w:val="1"/>
      <w:marLeft w:val="0"/>
      <w:marRight w:val="0"/>
      <w:marTop w:val="0"/>
      <w:marBottom w:val="0"/>
      <w:divBdr>
        <w:top w:val="none" w:sz="0" w:space="0" w:color="auto"/>
        <w:left w:val="none" w:sz="0" w:space="0" w:color="auto"/>
        <w:bottom w:val="none" w:sz="0" w:space="0" w:color="auto"/>
        <w:right w:val="none" w:sz="0" w:space="0" w:color="auto"/>
      </w:divBdr>
    </w:div>
    <w:div w:id="1456562882">
      <w:bodyDiv w:val="1"/>
      <w:marLeft w:val="0"/>
      <w:marRight w:val="0"/>
      <w:marTop w:val="0"/>
      <w:marBottom w:val="0"/>
      <w:divBdr>
        <w:top w:val="none" w:sz="0" w:space="0" w:color="auto"/>
        <w:left w:val="none" w:sz="0" w:space="0" w:color="auto"/>
        <w:bottom w:val="none" w:sz="0" w:space="0" w:color="auto"/>
        <w:right w:val="none" w:sz="0" w:space="0" w:color="auto"/>
      </w:divBdr>
      <w:divsChild>
        <w:div w:id="1151019954">
          <w:marLeft w:val="0"/>
          <w:marRight w:val="0"/>
          <w:marTop w:val="0"/>
          <w:marBottom w:val="0"/>
          <w:divBdr>
            <w:top w:val="none" w:sz="0" w:space="0" w:color="auto"/>
            <w:left w:val="none" w:sz="0" w:space="0" w:color="auto"/>
            <w:bottom w:val="none" w:sz="0" w:space="0" w:color="auto"/>
            <w:right w:val="none" w:sz="0" w:space="0" w:color="auto"/>
          </w:divBdr>
          <w:divsChild>
            <w:div w:id="1918635417">
              <w:marLeft w:val="0"/>
              <w:marRight w:val="0"/>
              <w:marTop w:val="0"/>
              <w:marBottom w:val="0"/>
              <w:divBdr>
                <w:top w:val="none" w:sz="0" w:space="0" w:color="auto"/>
                <w:left w:val="none" w:sz="0" w:space="0" w:color="auto"/>
                <w:bottom w:val="none" w:sz="0" w:space="0" w:color="auto"/>
                <w:right w:val="none" w:sz="0" w:space="0" w:color="auto"/>
              </w:divBdr>
              <w:divsChild>
                <w:div w:id="377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2704">
      <w:bodyDiv w:val="1"/>
      <w:marLeft w:val="0"/>
      <w:marRight w:val="0"/>
      <w:marTop w:val="0"/>
      <w:marBottom w:val="0"/>
      <w:divBdr>
        <w:top w:val="none" w:sz="0" w:space="0" w:color="auto"/>
        <w:left w:val="none" w:sz="0" w:space="0" w:color="auto"/>
        <w:bottom w:val="none" w:sz="0" w:space="0" w:color="auto"/>
        <w:right w:val="none" w:sz="0" w:space="0" w:color="auto"/>
      </w:divBdr>
    </w:div>
    <w:div w:id="1472405647">
      <w:bodyDiv w:val="1"/>
      <w:marLeft w:val="0"/>
      <w:marRight w:val="0"/>
      <w:marTop w:val="0"/>
      <w:marBottom w:val="0"/>
      <w:divBdr>
        <w:top w:val="none" w:sz="0" w:space="0" w:color="auto"/>
        <w:left w:val="none" w:sz="0" w:space="0" w:color="auto"/>
        <w:bottom w:val="none" w:sz="0" w:space="0" w:color="auto"/>
        <w:right w:val="none" w:sz="0" w:space="0" w:color="auto"/>
      </w:divBdr>
    </w:div>
    <w:div w:id="1571305335">
      <w:bodyDiv w:val="1"/>
      <w:marLeft w:val="0"/>
      <w:marRight w:val="0"/>
      <w:marTop w:val="0"/>
      <w:marBottom w:val="0"/>
      <w:divBdr>
        <w:top w:val="none" w:sz="0" w:space="0" w:color="auto"/>
        <w:left w:val="none" w:sz="0" w:space="0" w:color="auto"/>
        <w:bottom w:val="none" w:sz="0" w:space="0" w:color="auto"/>
        <w:right w:val="none" w:sz="0" w:space="0" w:color="auto"/>
      </w:divBdr>
    </w:div>
    <w:div w:id="1590625404">
      <w:bodyDiv w:val="1"/>
      <w:marLeft w:val="0"/>
      <w:marRight w:val="0"/>
      <w:marTop w:val="0"/>
      <w:marBottom w:val="0"/>
      <w:divBdr>
        <w:top w:val="none" w:sz="0" w:space="0" w:color="auto"/>
        <w:left w:val="none" w:sz="0" w:space="0" w:color="auto"/>
        <w:bottom w:val="none" w:sz="0" w:space="0" w:color="auto"/>
        <w:right w:val="none" w:sz="0" w:space="0" w:color="auto"/>
      </w:divBdr>
    </w:div>
    <w:div w:id="1625575162">
      <w:bodyDiv w:val="1"/>
      <w:marLeft w:val="0"/>
      <w:marRight w:val="0"/>
      <w:marTop w:val="0"/>
      <w:marBottom w:val="0"/>
      <w:divBdr>
        <w:top w:val="none" w:sz="0" w:space="0" w:color="auto"/>
        <w:left w:val="none" w:sz="0" w:space="0" w:color="auto"/>
        <w:bottom w:val="none" w:sz="0" w:space="0" w:color="auto"/>
        <w:right w:val="none" w:sz="0" w:space="0" w:color="auto"/>
      </w:divBdr>
    </w:div>
    <w:div w:id="1666935111">
      <w:bodyDiv w:val="1"/>
      <w:marLeft w:val="0"/>
      <w:marRight w:val="0"/>
      <w:marTop w:val="0"/>
      <w:marBottom w:val="0"/>
      <w:divBdr>
        <w:top w:val="none" w:sz="0" w:space="0" w:color="auto"/>
        <w:left w:val="none" w:sz="0" w:space="0" w:color="auto"/>
        <w:bottom w:val="none" w:sz="0" w:space="0" w:color="auto"/>
        <w:right w:val="none" w:sz="0" w:space="0" w:color="auto"/>
      </w:divBdr>
    </w:div>
    <w:div w:id="1698040812">
      <w:bodyDiv w:val="1"/>
      <w:marLeft w:val="0"/>
      <w:marRight w:val="0"/>
      <w:marTop w:val="0"/>
      <w:marBottom w:val="0"/>
      <w:divBdr>
        <w:top w:val="none" w:sz="0" w:space="0" w:color="auto"/>
        <w:left w:val="none" w:sz="0" w:space="0" w:color="auto"/>
        <w:bottom w:val="none" w:sz="0" w:space="0" w:color="auto"/>
        <w:right w:val="none" w:sz="0" w:space="0" w:color="auto"/>
      </w:divBdr>
    </w:div>
    <w:div w:id="1733772246">
      <w:bodyDiv w:val="1"/>
      <w:marLeft w:val="0"/>
      <w:marRight w:val="0"/>
      <w:marTop w:val="0"/>
      <w:marBottom w:val="0"/>
      <w:divBdr>
        <w:top w:val="none" w:sz="0" w:space="0" w:color="auto"/>
        <w:left w:val="none" w:sz="0" w:space="0" w:color="auto"/>
        <w:bottom w:val="none" w:sz="0" w:space="0" w:color="auto"/>
        <w:right w:val="none" w:sz="0" w:space="0" w:color="auto"/>
      </w:divBdr>
    </w:div>
    <w:div w:id="1761485844">
      <w:bodyDiv w:val="1"/>
      <w:marLeft w:val="0"/>
      <w:marRight w:val="0"/>
      <w:marTop w:val="0"/>
      <w:marBottom w:val="0"/>
      <w:divBdr>
        <w:top w:val="none" w:sz="0" w:space="0" w:color="auto"/>
        <w:left w:val="none" w:sz="0" w:space="0" w:color="auto"/>
        <w:bottom w:val="none" w:sz="0" w:space="0" w:color="auto"/>
        <w:right w:val="none" w:sz="0" w:space="0" w:color="auto"/>
      </w:divBdr>
    </w:div>
    <w:div w:id="1813789642">
      <w:bodyDiv w:val="1"/>
      <w:marLeft w:val="0"/>
      <w:marRight w:val="0"/>
      <w:marTop w:val="0"/>
      <w:marBottom w:val="0"/>
      <w:divBdr>
        <w:top w:val="none" w:sz="0" w:space="0" w:color="auto"/>
        <w:left w:val="none" w:sz="0" w:space="0" w:color="auto"/>
        <w:bottom w:val="none" w:sz="0" w:space="0" w:color="auto"/>
        <w:right w:val="none" w:sz="0" w:space="0" w:color="auto"/>
      </w:divBdr>
    </w:div>
    <w:div w:id="1814637945">
      <w:bodyDiv w:val="1"/>
      <w:marLeft w:val="0"/>
      <w:marRight w:val="0"/>
      <w:marTop w:val="0"/>
      <w:marBottom w:val="0"/>
      <w:divBdr>
        <w:top w:val="none" w:sz="0" w:space="0" w:color="auto"/>
        <w:left w:val="none" w:sz="0" w:space="0" w:color="auto"/>
        <w:bottom w:val="none" w:sz="0" w:space="0" w:color="auto"/>
        <w:right w:val="none" w:sz="0" w:space="0" w:color="auto"/>
      </w:divBdr>
    </w:div>
    <w:div w:id="1825006559">
      <w:bodyDiv w:val="1"/>
      <w:marLeft w:val="0"/>
      <w:marRight w:val="0"/>
      <w:marTop w:val="0"/>
      <w:marBottom w:val="0"/>
      <w:divBdr>
        <w:top w:val="none" w:sz="0" w:space="0" w:color="auto"/>
        <w:left w:val="none" w:sz="0" w:space="0" w:color="auto"/>
        <w:bottom w:val="none" w:sz="0" w:space="0" w:color="auto"/>
        <w:right w:val="none" w:sz="0" w:space="0" w:color="auto"/>
      </w:divBdr>
    </w:div>
    <w:div w:id="1834755796">
      <w:bodyDiv w:val="1"/>
      <w:marLeft w:val="0"/>
      <w:marRight w:val="0"/>
      <w:marTop w:val="0"/>
      <w:marBottom w:val="0"/>
      <w:divBdr>
        <w:top w:val="none" w:sz="0" w:space="0" w:color="auto"/>
        <w:left w:val="none" w:sz="0" w:space="0" w:color="auto"/>
        <w:bottom w:val="none" w:sz="0" w:space="0" w:color="auto"/>
        <w:right w:val="none" w:sz="0" w:space="0" w:color="auto"/>
      </w:divBdr>
    </w:div>
    <w:div w:id="1861091922">
      <w:bodyDiv w:val="1"/>
      <w:marLeft w:val="0"/>
      <w:marRight w:val="0"/>
      <w:marTop w:val="0"/>
      <w:marBottom w:val="0"/>
      <w:divBdr>
        <w:top w:val="none" w:sz="0" w:space="0" w:color="auto"/>
        <w:left w:val="none" w:sz="0" w:space="0" w:color="auto"/>
        <w:bottom w:val="none" w:sz="0" w:space="0" w:color="auto"/>
        <w:right w:val="none" w:sz="0" w:space="0" w:color="auto"/>
      </w:divBdr>
    </w:div>
    <w:div w:id="1979409661">
      <w:bodyDiv w:val="1"/>
      <w:marLeft w:val="0"/>
      <w:marRight w:val="0"/>
      <w:marTop w:val="0"/>
      <w:marBottom w:val="0"/>
      <w:divBdr>
        <w:top w:val="none" w:sz="0" w:space="0" w:color="auto"/>
        <w:left w:val="none" w:sz="0" w:space="0" w:color="auto"/>
        <w:bottom w:val="none" w:sz="0" w:space="0" w:color="auto"/>
        <w:right w:val="none" w:sz="0" w:space="0" w:color="auto"/>
      </w:divBdr>
    </w:div>
    <w:div w:id="1983539578">
      <w:bodyDiv w:val="1"/>
      <w:marLeft w:val="0"/>
      <w:marRight w:val="0"/>
      <w:marTop w:val="0"/>
      <w:marBottom w:val="0"/>
      <w:divBdr>
        <w:top w:val="none" w:sz="0" w:space="0" w:color="auto"/>
        <w:left w:val="none" w:sz="0" w:space="0" w:color="auto"/>
        <w:bottom w:val="none" w:sz="0" w:space="0" w:color="auto"/>
        <w:right w:val="none" w:sz="0" w:space="0" w:color="auto"/>
      </w:divBdr>
    </w:div>
    <w:div w:id="2020740420">
      <w:bodyDiv w:val="1"/>
      <w:marLeft w:val="0"/>
      <w:marRight w:val="0"/>
      <w:marTop w:val="0"/>
      <w:marBottom w:val="0"/>
      <w:divBdr>
        <w:top w:val="none" w:sz="0" w:space="0" w:color="auto"/>
        <w:left w:val="none" w:sz="0" w:space="0" w:color="auto"/>
        <w:bottom w:val="none" w:sz="0" w:space="0" w:color="auto"/>
        <w:right w:val="none" w:sz="0" w:space="0" w:color="auto"/>
      </w:divBdr>
    </w:div>
    <w:div w:id="2057972150">
      <w:bodyDiv w:val="1"/>
      <w:marLeft w:val="0"/>
      <w:marRight w:val="0"/>
      <w:marTop w:val="0"/>
      <w:marBottom w:val="0"/>
      <w:divBdr>
        <w:top w:val="none" w:sz="0" w:space="0" w:color="auto"/>
        <w:left w:val="none" w:sz="0" w:space="0" w:color="auto"/>
        <w:bottom w:val="none" w:sz="0" w:space="0" w:color="auto"/>
        <w:right w:val="none" w:sz="0" w:space="0" w:color="auto"/>
      </w:divBdr>
    </w:div>
    <w:div w:id="2067139394">
      <w:bodyDiv w:val="1"/>
      <w:marLeft w:val="0"/>
      <w:marRight w:val="0"/>
      <w:marTop w:val="0"/>
      <w:marBottom w:val="0"/>
      <w:divBdr>
        <w:top w:val="none" w:sz="0" w:space="0" w:color="auto"/>
        <w:left w:val="none" w:sz="0" w:space="0" w:color="auto"/>
        <w:bottom w:val="none" w:sz="0" w:space="0" w:color="auto"/>
        <w:right w:val="none" w:sz="0" w:space="0" w:color="auto"/>
      </w:divBdr>
    </w:div>
    <w:div w:id="2076736919">
      <w:bodyDiv w:val="1"/>
      <w:marLeft w:val="0"/>
      <w:marRight w:val="0"/>
      <w:marTop w:val="0"/>
      <w:marBottom w:val="0"/>
      <w:divBdr>
        <w:top w:val="none" w:sz="0" w:space="0" w:color="auto"/>
        <w:left w:val="none" w:sz="0" w:space="0" w:color="auto"/>
        <w:bottom w:val="none" w:sz="0" w:space="0" w:color="auto"/>
        <w:right w:val="none" w:sz="0" w:space="0" w:color="auto"/>
      </w:divBdr>
    </w:div>
    <w:div w:id="2093626923">
      <w:bodyDiv w:val="1"/>
      <w:marLeft w:val="0"/>
      <w:marRight w:val="0"/>
      <w:marTop w:val="0"/>
      <w:marBottom w:val="0"/>
      <w:divBdr>
        <w:top w:val="none" w:sz="0" w:space="0" w:color="auto"/>
        <w:left w:val="none" w:sz="0" w:space="0" w:color="auto"/>
        <w:bottom w:val="none" w:sz="0" w:space="0" w:color="auto"/>
        <w:right w:val="none" w:sz="0" w:space="0" w:color="auto"/>
      </w:divBdr>
    </w:div>
    <w:div w:id="2124497192">
      <w:bodyDiv w:val="1"/>
      <w:marLeft w:val="0"/>
      <w:marRight w:val="0"/>
      <w:marTop w:val="0"/>
      <w:marBottom w:val="0"/>
      <w:divBdr>
        <w:top w:val="none" w:sz="0" w:space="0" w:color="auto"/>
        <w:left w:val="none" w:sz="0" w:space="0" w:color="auto"/>
        <w:bottom w:val="none" w:sz="0" w:space="0" w:color="auto"/>
        <w:right w:val="none" w:sz="0" w:space="0" w:color="auto"/>
      </w:divBdr>
    </w:div>
    <w:div w:id="213610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2316/hse/rhe.v23i2.406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graphi.ca/en/bio/dewdney_edgar_14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ing.usask.ca/indigenoussk/import/treaty_4.ph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ographi.ca/en/bio/christie_william_joseph_12E.html" TargetMode="External"/><Relationship Id="rId4" Type="http://schemas.openxmlformats.org/officeDocument/2006/relationships/settings" Target="settings.xml"/><Relationship Id="rId9" Type="http://schemas.openxmlformats.org/officeDocument/2006/relationships/hyperlink" Target="http://www.biographi.ca/en/bio/laird_david_14E.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D44F-2917-2440-A85E-3FFD9186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11106</Words>
  <Characters>63309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Frick</cp:lastModifiedBy>
  <cp:revision>2</cp:revision>
  <cp:lastPrinted>2021-03-27T17:00:00Z</cp:lastPrinted>
  <dcterms:created xsi:type="dcterms:W3CDTF">2021-07-13T01:23:00Z</dcterms:created>
  <dcterms:modified xsi:type="dcterms:W3CDTF">2021-07-13T01:23:00Z</dcterms:modified>
</cp:coreProperties>
</file>