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DD44A3" w:rsidRDefault="00DD44A3">
      <w:pPr>
        <w:rPr>
          <w:sz w:val="36"/>
          <w:szCs w:val="36"/>
        </w:rPr>
      </w:pPr>
    </w:p>
    <w:p w14:paraId="00000002" w14:textId="77777777" w:rsidR="00DD44A3" w:rsidRDefault="00E7744B">
      <w:pPr>
        <w:jc w:val="center"/>
        <w:rPr>
          <w:sz w:val="36"/>
          <w:szCs w:val="36"/>
        </w:rPr>
      </w:pPr>
      <w:r>
        <w:rPr>
          <w:sz w:val="36"/>
          <w:szCs w:val="36"/>
        </w:rPr>
        <w:t>Bent out of Shape: The Projection of Male Anxiety onto Busks and Stays in Early Modern Europe</w:t>
      </w:r>
    </w:p>
    <w:p w14:paraId="00000003" w14:textId="77777777" w:rsidR="00DD44A3" w:rsidRDefault="00DD44A3">
      <w:pPr>
        <w:ind w:firstLine="720"/>
        <w:jc w:val="center"/>
        <w:rPr>
          <w:sz w:val="24"/>
          <w:szCs w:val="24"/>
        </w:rPr>
      </w:pPr>
    </w:p>
    <w:p w14:paraId="00000004" w14:textId="77777777" w:rsidR="00DD44A3" w:rsidRDefault="00E7744B">
      <w:pPr>
        <w:ind w:firstLine="720"/>
        <w:jc w:val="center"/>
        <w:rPr>
          <w:sz w:val="24"/>
          <w:szCs w:val="24"/>
        </w:rPr>
      </w:pPr>
      <w:r>
        <w:br w:type="page"/>
      </w:r>
    </w:p>
    <w:p w14:paraId="00000005" w14:textId="77777777" w:rsidR="00DD44A3" w:rsidRDefault="00E7744B">
      <w:pPr>
        <w:spacing w:line="480" w:lineRule="auto"/>
        <w:ind w:firstLine="720"/>
      </w:pPr>
      <w:r>
        <w:lastRenderedPageBreak/>
        <w:t>Abstract</w:t>
      </w:r>
    </w:p>
    <w:p w14:paraId="00000006" w14:textId="77777777" w:rsidR="00DD44A3" w:rsidRDefault="00E7744B">
      <w:pPr>
        <w:spacing w:line="480" w:lineRule="auto"/>
        <w:ind w:firstLine="720"/>
      </w:pPr>
      <w:r>
        <w:t xml:space="preserve">An interesting </w:t>
      </w:r>
      <w:r>
        <w:t xml:space="preserve">pattern emerges in the Early Modern Era of women taking control of their lives and bodies </w:t>
      </w:r>
      <w:proofErr w:type="gramStart"/>
      <w:r>
        <w:t>through the use of</w:t>
      </w:r>
      <w:proofErr w:type="gramEnd"/>
      <w:r>
        <w:t xml:space="preserve"> material culture, and men being terrified of this fact. Women often lacked agency in a world with ever-changing perceptions of not only femininity,</w:t>
      </w:r>
      <w:r>
        <w:t xml:space="preserve"> but also of the female form. Clothing was then one of the few ways that these women who lacked power could control their body and their spheres. To those living in the Early Modern Era, clothing held far more meaning than it does in the modern day. The ex</w:t>
      </w:r>
      <w:r>
        <w:t>change of clothing among women was founded on and fundamental to the connections between them.</w:t>
      </w:r>
      <w:r>
        <w:rPr>
          <w:vertAlign w:val="superscript"/>
        </w:rPr>
        <w:footnoteReference w:id="1"/>
      </w:r>
      <w:r>
        <w:t xml:space="preserve"> It was transferred from “masters and mistresses to servants, from aunts to nieces, from sisters and brothers to younger siblings” in a “routine rotation” that </w:t>
      </w:r>
      <w:r>
        <w:t>was the life of a garment.</w:t>
      </w:r>
      <w:r>
        <w:rPr>
          <w:vertAlign w:val="superscript"/>
        </w:rPr>
        <w:footnoteReference w:id="2"/>
      </w:r>
      <w:r>
        <w:t xml:space="preserve"> Men and women alike understood the innate power of clothing in the Early Modern period and its ability to “</w:t>
      </w:r>
      <w:proofErr w:type="spellStart"/>
      <w:r>
        <w:t>transnature</w:t>
      </w:r>
      <w:proofErr w:type="spellEnd"/>
      <w:r>
        <w:t>” the body it was on.</w:t>
      </w:r>
      <w:r>
        <w:rPr>
          <w:vertAlign w:val="superscript"/>
        </w:rPr>
        <w:footnoteReference w:id="3"/>
      </w:r>
      <w:r>
        <w:t xml:space="preserve"> Clothing had the power to “</w:t>
      </w:r>
      <w:proofErr w:type="spellStart"/>
      <w:r>
        <w:t>mold</w:t>
      </w:r>
      <w:proofErr w:type="spellEnd"/>
      <w:r>
        <w:t xml:space="preserve"> and shape” women into anything.</w:t>
      </w:r>
      <w:r>
        <w:rPr>
          <w:vertAlign w:val="superscript"/>
        </w:rPr>
        <w:footnoteReference w:id="4"/>
      </w:r>
      <w:r>
        <w:t xml:space="preserve"> Because of its tran</w:t>
      </w:r>
      <w:r>
        <w:t>sformative nature, for many women clothing was one of the few places where they could exert their control: through purchasing power, shaping their public presentation and—for lower class women—even manufacturing or selling.</w:t>
      </w:r>
      <w:r>
        <w:rPr>
          <w:vertAlign w:val="superscript"/>
        </w:rPr>
        <w:footnoteReference w:id="5"/>
      </w:r>
      <w:r>
        <w:t xml:space="preserve">  Busks and stays are one item </w:t>
      </w:r>
      <w:r>
        <w:t>which was targeted by masculinity in the early modern period because of their connection to both women and sexuality more specifically.</w:t>
      </w:r>
      <w:r>
        <w:br w:type="page"/>
      </w:r>
    </w:p>
    <w:p w14:paraId="00000007" w14:textId="77777777" w:rsidR="00DD44A3" w:rsidRDefault="00E7744B">
      <w:pPr>
        <w:spacing w:line="480" w:lineRule="auto"/>
        <w:ind w:firstLine="720"/>
      </w:pPr>
      <w:r>
        <w:lastRenderedPageBreak/>
        <w:t>There are numerous accounts of male anxiety surrounding various apparently arbitrary objects, from poking sticks to far</w:t>
      </w:r>
      <w:r>
        <w:t>thingales to cosmetics to collar ruffs and of course, fundamental to this discussion, busks and stays. Busks and stays are crucial not only to this paper, but to the whole understanding of material culture in the Early Modern Period, because they were, muc</w:t>
      </w:r>
      <w:r>
        <w:t>h like their position in dressing, foundational to how people understood and perceived the body. The reason men were so anxious of busks and stays particularly was because of their dual perception as not only objects of female sexuality but also of male de</w:t>
      </w:r>
      <w:r>
        <w:t>sire.</w:t>
      </w:r>
      <w:r>
        <w:rPr>
          <w:vertAlign w:val="superscript"/>
        </w:rPr>
        <w:footnoteReference w:id="6"/>
      </w:r>
      <w:r>
        <w:t xml:space="preserve"> The anxiety men projected onto stays and busks was emblematic of the male crisis of masculinity that arose in the changing Early Modern world.</w:t>
      </w:r>
      <w:r>
        <w:rPr>
          <w:vertAlign w:val="superscript"/>
        </w:rPr>
        <w:footnoteReference w:id="7"/>
      </w:r>
      <w:r>
        <w:t xml:space="preserve"> For some scholars, anxiety in masculinity is inherent to the patriarchal system and its existence expos</w:t>
      </w:r>
      <w:r>
        <w:t>es the “fissures and contradictions” necessarily present in a patriarchal society.</w:t>
      </w:r>
      <w:r>
        <w:rPr>
          <w:vertAlign w:val="superscript"/>
        </w:rPr>
        <w:footnoteReference w:id="8"/>
      </w:r>
      <w:r>
        <w:t xml:space="preserve"> This anxiety is necessary for the perpetuation of the patriarchal systems into the future; it is built in to defend itself from women potentially gaining power.</w:t>
      </w:r>
      <w:r>
        <w:rPr>
          <w:vertAlign w:val="superscript"/>
        </w:rPr>
        <w:footnoteReference w:id="9"/>
      </w:r>
      <w:r>
        <w:t xml:space="preserve"> What is </w:t>
      </w:r>
      <w:r>
        <w:t>important in this discussion then is not the stays, busks, farthingales, cosmetics, poking sticks or collar ruffs, but rather what the outrage they caused really meant. Perhaps these items were controversial for legitimate reasons, but more likely it was a</w:t>
      </w:r>
      <w:r>
        <w:t xml:space="preserve"> matter of the need for masculinity to maintain its power over women, and the fear of clothing’s power to “inscribe [itself] upon a person”.</w:t>
      </w:r>
      <w:r>
        <w:rPr>
          <w:vertAlign w:val="superscript"/>
        </w:rPr>
        <w:footnoteReference w:id="10"/>
      </w:r>
      <w:r>
        <w:t xml:space="preserve"> As a result then, this essay focuses on stays yes, but they are not the focal point; stays and the busks within t</w:t>
      </w:r>
      <w:r>
        <w:t xml:space="preserve">hem are simply one item which masculinity must target to perpetuate itself. Many men in the Early Modern period were anxious that women could control their public presentation and they projected this anger onto the clothing women wore, including busks and </w:t>
      </w:r>
      <w:r>
        <w:t xml:space="preserve">stays because of their innate power. This anxiety took shape in four major ways: </w:t>
      </w:r>
      <w:r>
        <w:lastRenderedPageBreak/>
        <w:t xml:space="preserve">concerns of female sexual promiscuity, female corruptibility, status concealment, and confused gender roles. </w:t>
      </w:r>
    </w:p>
    <w:p w14:paraId="00000008" w14:textId="77777777" w:rsidR="00DD44A3" w:rsidRDefault="00E7744B">
      <w:pPr>
        <w:spacing w:line="480" w:lineRule="auto"/>
        <w:ind w:firstLine="720"/>
      </w:pPr>
      <w:r>
        <w:t xml:space="preserve">Often the terms </w:t>
      </w:r>
      <w:proofErr w:type="gramStart"/>
      <w:r>
        <w:t>stays</w:t>
      </w:r>
      <w:proofErr w:type="gramEnd"/>
      <w:r>
        <w:t xml:space="preserve"> and corsets are used interchangeably in the</w:t>
      </w:r>
      <w:r>
        <w:t xml:space="preserve"> historiography of the 16th to 18th centuries; however, for the purpose of this essay, I will solely be using stays because, presently, corset is more often used to describe the popular body-shaping garment of the 19th and early 20th centuries. Stays—also </w:t>
      </w:r>
      <w:r>
        <w:t>occasionally referred to as a pair (or “</w:t>
      </w:r>
      <w:proofErr w:type="spellStart"/>
      <w:r>
        <w:t>peire</w:t>
      </w:r>
      <w:proofErr w:type="spellEnd"/>
      <w:r>
        <w:t>”) of bodies—first came into use in the mid to late 16th century among nobility, first in Spain and then spread across Europe.</w:t>
      </w:r>
      <w:r>
        <w:rPr>
          <w:vertAlign w:val="superscript"/>
        </w:rPr>
        <w:footnoteReference w:id="11"/>
      </w:r>
      <w:r>
        <w:t xml:space="preserve"> They are a stiff undergarment meant to give structure to not only the body but the</w:t>
      </w:r>
      <w:r>
        <w:t xml:space="preserve"> heavy petticoats, or farthingales, that royalty and women of the court often wore.</w:t>
      </w:r>
      <w:r>
        <w:rPr>
          <w:vertAlign w:val="superscript"/>
        </w:rPr>
        <w:footnoteReference w:id="12"/>
      </w:r>
      <w:r>
        <w:t xml:space="preserve"> Over a few decades, stays percolated down to the lower levels of society, eventually becoming a necessity for all women to wear no matter their class.</w:t>
      </w:r>
      <w:r>
        <w:rPr>
          <w:vertAlign w:val="superscript"/>
        </w:rPr>
        <w:footnoteReference w:id="13"/>
      </w:r>
      <w:r>
        <w:t xml:space="preserve"> Busks are a rod o</w:t>
      </w:r>
      <w:r>
        <w:t>f whale bone, wood or steel inserted into the front of a pair of bodies or stays.</w:t>
      </w:r>
      <w:r>
        <w:rPr>
          <w:vertAlign w:val="superscript"/>
        </w:rPr>
        <w:footnoteReference w:id="14"/>
      </w:r>
      <w:r>
        <w:t xml:space="preserve"> Much like the stays they were enclosed within, busks began to appear in wardrobes in the 1580s; first they became a mainstay of dress among Spanish royalty and nobility and</w:t>
      </w:r>
      <w:r>
        <w:t xml:space="preserve"> then later dispersed down to the lower social levels of societies and into other nations.</w:t>
      </w:r>
      <w:r>
        <w:rPr>
          <w:vertAlign w:val="superscript"/>
        </w:rPr>
        <w:footnoteReference w:id="15"/>
      </w:r>
      <w:r>
        <w:t xml:space="preserve"> The functional use of both stays and busks was to support the bust, improve posture and give a stiff foundation to the garments worn on top of them.</w:t>
      </w:r>
      <w:r>
        <w:rPr>
          <w:vertAlign w:val="superscript"/>
        </w:rPr>
        <w:footnoteReference w:id="16"/>
      </w:r>
      <w:r>
        <w:t xml:space="preserve"> Moreover, th</w:t>
      </w:r>
      <w:r>
        <w:t xml:space="preserve">e Early Modern period marked a new era of body “discipline” as patriarchal systems, such as the church, scrambled to maintain their control over women and </w:t>
      </w:r>
      <w:r>
        <w:lastRenderedPageBreak/>
        <w:t>society.</w:t>
      </w:r>
      <w:r>
        <w:rPr>
          <w:vertAlign w:val="superscript"/>
        </w:rPr>
        <w:footnoteReference w:id="17"/>
      </w:r>
      <w:r>
        <w:t xml:space="preserve"> These foundation garments like busks, stays and farthingales quickly started to replace wo</w:t>
      </w:r>
      <w:r>
        <w:t>men’s “natural” bodies with a more disciplined silhouette, a  “constructed” one of whale bone, horn and wood.</w:t>
      </w:r>
      <w:r>
        <w:rPr>
          <w:vertAlign w:val="superscript"/>
        </w:rPr>
        <w:footnoteReference w:id="18"/>
      </w:r>
      <w:r>
        <w:t xml:space="preserve"> Busks were widely considered sexual by people in the Early Modern Era and contemporary scholars for two major reasons. First was the position of</w:t>
      </w:r>
      <w:r>
        <w:t xml:space="preserve"> the busk and its proximity to the “breasts at one end and to the groin” at the other, connecting the two areas most commonly sexualised and fantasised about by men.</w:t>
      </w:r>
      <w:r>
        <w:rPr>
          <w:vertAlign w:val="superscript"/>
        </w:rPr>
        <w:footnoteReference w:id="19"/>
      </w:r>
      <w:r>
        <w:t xml:space="preserve"> Second is their existence as an item of courtship often given to women at the beginning of a courtship—or relationship more generally in the case of mistresses.</w:t>
      </w:r>
      <w:r>
        <w:rPr>
          <w:vertAlign w:val="superscript"/>
        </w:rPr>
        <w:footnoteReference w:id="20"/>
      </w:r>
      <w:r>
        <w:t xml:space="preserve"> There are multiple examples in contemporary literature and journals of men dreaming of sleep</w:t>
      </w:r>
      <w:r>
        <w:t>ing upon a woman’s busk or being envious of its constant closeness to their lover.</w:t>
      </w:r>
      <w:r>
        <w:rPr>
          <w:vertAlign w:val="superscript"/>
        </w:rPr>
        <w:footnoteReference w:id="21"/>
      </w:r>
      <w:r>
        <w:t xml:space="preserve"> Stays more generally are considered sexual based on their position as underwear and their ability to shape women into the form viewed as most sexually attractive. </w:t>
      </w:r>
    </w:p>
    <w:p w14:paraId="00000009" w14:textId="77777777" w:rsidR="00DD44A3" w:rsidRDefault="00E7744B">
      <w:pPr>
        <w:spacing w:line="480" w:lineRule="auto"/>
        <w:ind w:firstLine="720"/>
      </w:pPr>
      <w:r>
        <w:t>Feminin</w:t>
      </w:r>
      <w:r>
        <w:t xml:space="preserve">ity and female sexuality are intrinsically linked to clothing and material culture, both in their production and consumption. From birth, girls are taught to embroider, </w:t>
      </w:r>
      <w:proofErr w:type="gramStart"/>
      <w:r>
        <w:t>sew</w:t>
      </w:r>
      <w:proofErr w:type="gramEnd"/>
      <w:r>
        <w:t xml:space="preserve"> or mend, and these girls in British—and more broadly European—history have become w</w:t>
      </w:r>
      <w:r>
        <w:t>omen by gaining proficiency in knitting and embroidery.</w:t>
      </w:r>
      <w:r>
        <w:rPr>
          <w:vertAlign w:val="superscript"/>
        </w:rPr>
        <w:footnoteReference w:id="22"/>
      </w:r>
      <w:r>
        <w:t xml:space="preserve"> This fact is important because during the Early Modern Era, sexuality—though more specifically female sexuality—was seen as a dangerous force. Consequently, clothing which allowed women to shape the</w:t>
      </w:r>
      <w:r>
        <w:t xml:space="preserve">ir sexuality was dangerous. </w:t>
      </w:r>
      <w:proofErr w:type="gramStart"/>
      <w:r>
        <w:t>This is why</w:t>
      </w:r>
      <w:proofErr w:type="gramEnd"/>
      <w:r>
        <w:t xml:space="preserve"> busks and stays in particular incurred the distaste of the public. Busks alone were especially controversial because they were a hard erect object that women carried with them at </w:t>
      </w:r>
      <w:r>
        <w:lastRenderedPageBreak/>
        <w:t>all times, essentially giving them th</w:t>
      </w:r>
      <w:r>
        <w:t>e penis they lacked.</w:t>
      </w:r>
      <w:r>
        <w:rPr>
          <w:vertAlign w:val="superscript"/>
        </w:rPr>
        <w:footnoteReference w:id="23"/>
      </w:r>
      <w:r>
        <w:t xml:space="preserve"> An important aspect of female sexuality of the time is the belief that men had what women lacked based on the Galenic model in which women possessed inverted penises.</w:t>
      </w:r>
      <w:r>
        <w:rPr>
          <w:vertAlign w:val="superscript"/>
        </w:rPr>
        <w:footnoteReference w:id="24"/>
      </w:r>
      <w:r>
        <w:t xml:space="preserve"> This model postulated that women desperately sought a phallus of</w:t>
      </w:r>
      <w:r>
        <w:t xml:space="preserve"> their own.</w:t>
      </w:r>
      <w:r>
        <w:rPr>
          <w:vertAlign w:val="superscript"/>
        </w:rPr>
        <w:footnoteReference w:id="25"/>
      </w:r>
      <w:r>
        <w:t xml:space="preserve"> The dichotomy of sexuality at the time was that men's sexuality was often allowed or ignored, while women’s sexuality was dangerous and condemned.</w:t>
      </w:r>
      <w:r>
        <w:rPr>
          <w:vertAlign w:val="superscript"/>
        </w:rPr>
        <w:footnoteReference w:id="26"/>
      </w:r>
      <w:r>
        <w:t xml:space="preserve">  Female sexuality was understood to be “powerful and destructive” which is why there was such a heavy fixation on controlling it.</w:t>
      </w:r>
      <w:r>
        <w:rPr>
          <w:vertAlign w:val="superscript"/>
        </w:rPr>
        <w:footnoteReference w:id="27"/>
      </w:r>
      <w:r>
        <w:t xml:space="preserve"> Sexuality is and always has been a source of anxiety in general because it is by nature “anarchic” and something that compe</w:t>
      </w:r>
      <w:r>
        <w:t>ls people to forfeit control of themselves.</w:t>
      </w:r>
      <w:r>
        <w:rPr>
          <w:vertAlign w:val="superscript"/>
        </w:rPr>
        <w:footnoteReference w:id="28"/>
      </w:r>
      <w:r>
        <w:t xml:space="preserve"> Stays and busks were considered to be an unnecessary and ‘clearly’ sexual adornment to the body by many Early Modern moralists who saw vanity as a largely female sin.</w:t>
      </w:r>
      <w:r>
        <w:rPr>
          <w:vertAlign w:val="superscript"/>
        </w:rPr>
        <w:footnoteReference w:id="29"/>
      </w:r>
      <w:r>
        <w:t xml:space="preserve"> Likely, though, this anxiety had little t</w:t>
      </w:r>
      <w:r>
        <w:t xml:space="preserve">o do with stays actually being a frivolous item and more to do with the fact that it gave women something tangible with which to shape their sexuality. This was dangerous because it afforded women some amount of power in patriarchal systems; therefore, in </w:t>
      </w:r>
      <w:r>
        <w:t xml:space="preserve">the Early Modern period, women's sexuality needed to be </w:t>
      </w:r>
      <w:proofErr w:type="spellStart"/>
      <w:r>
        <w:t>striclty</w:t>
      </w:r>
      <w:proofErr w:type="spellEnd"/>
      <w:r>
        <w:t xml:space="preserve"> controlled while men’s “sexual prowess and performance” were “important elements of asserting masculinity” because they perpetuated patriarchal ideals.</w:t>
      </w:r>
      <w:r>
        <w:rPr>
          <w:vertAlign w:val="superscript"/>
        </w:rPr>
        <w:footnoteReference w:id="30"/>
      </w:r>
      <w:r>
        <w:t xml:space="preserve"> Women, being the “daughters of Eve” t</w:t>
      </w:r>
      <w:r>
        <w:t>hen were particularly dangerous, the perpetrators of the first sin who unleashed it into the world.</w:t>
      </w:r>
      <w:r>
        <w:rPr>
          <w:vertAlign w:val="superscript"/>
        </w:rPr>
        <w:footnoteReference w:id="31"/>
      </w:r>
      <w:r>
        <w:t xml:space="preserve">  It was Eve after all who took the fruit from the tree and gave it to Adam, making them </w:t>
      </w:r>
      <w:r>
        <w:lastRenderedPageBreak/>
        <w:t>aware of their nakedness.</w:t>
      </w:r>
      <w:r>
        <w:rPr>
          <w:vertAlign w:val="superscript"/>
        </w:rPr>
        <w:footnoteReference w:id="32"/>
      </w:r>
      <w:r>
        <w:t xml:space="preserve"> Women then were both uniquely suscepti</w:t>
      </w:r>
      <w:r>
        <w:t xml:space="preserve">ble to the corruption of vanity and by extension “narcissism and self-idolatry” and uniquely </w:t>
      </w:r>
      <w:proofErr w:type="spellStart"/>
      <w:r>
        <w:t>temptuous</w:t>
      </w:r>
      <w:proofErr w:type="spellEnd"/>
      <w:r>
        <w:t xml:space="preserve"> to men.</w:t>
      </w:r>
      <w:r>
        <w:rPr>
          <w:vertAlign w:val="superscript"/>
        </w:rPr>
        <w:footnoteReference w:id="33"/>
      </w:r>
      <w:r>
        <w:t xml:space="preserve"> </w:t>
      </w:r>
    </w:p>
    <w:p w14:paraId="0000000A" w14:textId="77777777" w:rsidR="00DD44A3" w:rsidRDefault="00E7744B">
      <w:pPr>
        <w:spacing w:line="480" w:lineRule="auto"/>
        <w:ind w:firstLine="720"/>
      </w:pPr>
      <w:r>
        <w:t>Moreover, in Early Modern Europe, there was a deep fixation on virginity which was linked to this same fear of female corruptibility.</w:t>
      </w:r>
      <w:r>
        <w:rPr>
          <w:vertAlign w:val="superscript"/>
        </w:rPr>
        <w:footnoteReference w:id="34"/>
      </w:r>
      <w:r>
        <w:t xml:space="preserve"> Female</w:t>
      </w:r>
      <w:r>
        <w:t xml:space="preserve"> virginity was central to shaping garments’ connection to women, which meant that people of the Early Modern Era in Europe placed excessive stress on “enclosing women’s bodies” within them.</w:t>
      </w:r>
      <w:r>
        <w:rPr>
          <w:vertAlign w:val="superscript"/>
        </w:rPr>
        <w:footnoteReference w:id="35"/>
      </w:r>
      <w:r>
        <w:t xml:space="preserve"> A distinct but connected anxiety regarding immorality among wome</w:t>
      </w:r>
      <w:r>
        <w:t xml:space="preserve">n was the </w:t>
      </w:r>
      <w:proofErr w:type="spellStart"/>
      <w:r>
        <w:t>busk’s</w:t>
      </w:r>
      <w:proofErr w:type="spellEnd"/>
      <w:r>
        <w:t xml:space="preserve"> role in pregnancy. Body-shaping garments not only helped women to shape themselves into the ‘ideal form’ as discussed previously, but they also provided a route for women to conceivably conceal pregnancy.</w:t>
      </w:r>
      <w:r>
        <w:rPr>
          <w:vertAlign w:val="superscript"/>
        </w:rPr>
        <w:footnoteReference w:id="36"/>
      </w:r>
      <w:r>
        <w:t xml:space="preserve">  The church was outraged by wome</w:t>
      </w:r>
      <w:r>
        <w:t>n potentially being able to hide their sexual deviance by cloaking their pregnancy; this is an anxiety also seen surrounding the farthingale.</w:t>
      </w:r>
      <w:r>
        <w:rPr>
          <w:vertAlign w:val="superscript"/>
        </w:rPr>
        <w:footnoteReference w:id="37"/>
      </w:r>
      <w:r>
        <w:t xml:space="preserve"> For many men, this was morally concerning because it allowed women to be sexually promiscuous without the risk o</w:t>
      </w:r>
      <w:r>
        <w:t>f pregnancy.</w:t>
      </w:r>
      <w:r>
        <w:rPr>
          <w:vertAlign w:val="superscript"/>
        </w:rPr>
        <w:footnoteReference w:id="38"/>
      </w:r>
      <w:r>
        <w:t xml:space="preserve"> Not only did busks and stays give women control of their bodies, sexuality and provide a solution to pregnancy in concealment but also may have provided a method of abortion.</w:t>
      </w:r>
      <w:r>
        <w:rPr>
          <w:vertAlign w:val="superscript"/>
        </w:rPr>
        <w:footnoteReference w:id="39"/>
      </w:r>
      <w:r>
        <w:t xml:space="preserve"> There are multiple accounts in the Early Modern period of women </w:t>
      </w:r>
      <w:r>
        <w:t xml:space="preserve">using busks and the tight lacing of stays to cause a </w:t>
      </w:r>
      <w:proofErr w:type="spellStart"/>
      <w:r>
        <w:t>miscarrage</w:t>
      </w:r>
      <w:proofErr w:type="spellEnd"/>
      <w:r>
        <w:t>.</w:t>
      </w:r>
      <w:r>
        <w:rPr>
          <w:vertAlign w:val="superscript"/>
        </w:rPr>
        <w:footnoteReference w:id="40"/>
      </w:r>
      <w:r>
        <w:t xml:space="preserve"> In this case, busks and stays even managed to transcend clothes’ ability to aesthetically ‘</w:t>
      </w:r>
      <w:proofErr w:type="spellStart"/>
      <w:r>
        <w:t>mold</w:t>
      </w:r>
      <w:proofErr w:type="spellEnd"/>
      <w:r>
        <w:t xml:space="preserve"> and shape’ the body by literally changing the </w:t>
      </w:r>
      <w:r>
        <w:lastRenderedPageBreak/>
        <w:t xml:space="preserve">physicality of the body, making them even more </w:t>
      </w:r>
      <w:r>
        <w:t>dangerous than other clothing items or objects of female sexuality.</w:t>
      </w:r>
    </w:p>
    <w:p w14:paraId="0000000B" w14:textId="77777777" w:rsidR="00DD44A3" w:rsidRDefault="00E7744B">
      <w:pPr>
        <w:spacing w:line="480" w:lineRule="auto"/>
        <w:ind w:firstLine="720"/>
      </w:pPr>
      <w:r>
        <w:t>One very common trend in body-shaping garments is male doctors claiming that they were to the detriment of a lady’s health, when really they were worried about feminine corruption.</w:t>
      </w:r>
      <w:r>
        <w:rPr>
          <w:vertAlign w:val="superscript"/>
        </w:rPr>
        <w:footnoteReference w:id="41"/>
      </w:r>
      <w:r>
        <w:t xml:space="preserve"> In th</w:t>
      </w:r>
      <w:r>
        <w:t>e case of stays, they claimed women immorally tight-laced themselves into bodices to achieve a “slender” figure desirable at the cost of their health.</w:t>
      </w:r>
      <w:r>
        <w:rPr>
          <w:vertAlign w:val="superscript"/>
        </w:rPr>
        <w:footnoteReference w:id="42"/>
      </w:r>
      <w:r>
        <w:t xml:space="preserve"> Not only did stays allegedly misshapen one's bones, but according to many doctors of the time, they cou</w:t>
      </w:r>
      <w:r>
        <w:t>ld also cause permanent damage to fertility by flattening the area where a baby is meant to grow.</w:t>
      </w:r>
      <w:r>
        <w:rPr>
          <w:vertAlign w:val="superscript"/>
        </w:rPr>
        <w:footnoteReference w:id="43"/>
      </w:r>
      <w:r>
        <w:t xml:space="preserve"> Similar claims were made about other body-changing adornments too, like cosmetics, which male doctors assumed would seep into female skin, permanently damag</w:t>
      </w:r>
      <w:r>
        <w:t>ing it or turning them black.</w:t>
      </w:r>
      <w:r>
        <w:rPr>
          <w:vertAlign w:val="superscript"/>
        </w:rPr>
        <w:footnoteReference w:id="44"/>
      </w:r>
      <w:r>
        <w:t xml:space="preserve"> And the rumours around stays’ later incarnation, corsets, misshaping and mangling the body were so rampant that many still believe the claims today, nearly 100 years after they stopped being worn. In all three cases, this was really more a church-based fe</w:t>
      </w:r>
      <w:r>
        <w:t xml:space="preserve">ar of the </w:t>
      </w:r>
      <w:r>
        <w:rPr>
          <w:i/>
        </w:rPr>
        <w:t xml:space="preserve">supposed </w:t>
      </w:r>
      <w:r>
        <w:t>innate corruptibility of women and not their actual danger.</w:t>
      </w:r>
      <w:r>
        <w:rPr>
          <w:vertAlign w:val="superscript"/>
        </w:rPr>
        <w:footnoteReference w:id="45"/>
      </w:r>
      <w:r>
        <w:t xml:space="preserve"> Clothing was meant for many to show one's inward virtue, and of course then the opposite </w:t>
      </w:r>
      <w:proofErr w:type="gramStart"/>
      <w:r>
        <w:t>applied</w:t>
      </w:r>
      <w:proofErr w:type="gramEnd"/>
      <w:r>
        <w:t xml:space="preserve"> and it could also show one's inner immorality. To wear too frequently indecent</w:t>
      </w:r>
      <w:r>
        <w:t>, overly ostentatious clothing was to be immoral and showed one's lack of righteousness.</w:t>
      </w:r>
      <w:r>
        <w:rPr>
          <w:vertAlign w:val="superscript"/>
        </w:rPr>
        <w:footnoteReference w:id="46"/>
      </w:r>
      <w:r>
        <w:t xml:space="preserve"> Women who fixated too heavily on fashion were often criticised for their vanity and putting aside their “Christian duty” for “ostentatious” shows of wealth.</w:t>
      </w:r>
      <w:r>
        <w:rPr>
          <w:vertAlign w:val="superscript"/>
        </w:rPr>
        <w:footnoteReference w:id="47"/>
      </w:r>
      <w:r>
        <w:t xml:space="preserve"> One sh</w:t>
      </w:r>
      <w:r>
        <w:t xml:space="preserve">ould not pretend, however, that similar criticisms did not exist surrounding the dress of men, and indeed such criticisms were often </w:t>
      </w:r>
      <w:proofErr w:type="spellStart"/>
      <w:r>
        <w:t>leveled</w:t>
      </w:r>
      <w:proofErr w:type="spellEnd"/>
      <w:r>
        <w:t xml:space="preserve"> for similar reasons; for both men and women, the intention was to uphold the in-place patriarchal systems </w:t>
      </w:r>
      <w:r>
        <w:lastRenderedPageBreak/>
        <w:t>and reinf</w:t>
      </w:r>
      <w:r>
        <w:t>orce men as the “more rational sex”.</w:t>
      </w:r>
      <w:r>
        <w:rPr>
          <w:vertAlign w:val="superscript"/>
        </w:rPr>
        <w:footnoteReference w:id="48"/>
      </w:r>
      <w:r>
        <w:t xml:space="preserve"> Busks and stays in particular received so much attention because they were deeply intimate items, often gifted from a man to his lover. Not only were they worn intimately, but they were something which men would only </w:t>
      </w:r>
      <w:r>
        <w:t>see in intimate settings thereafter. Busks maintained a strange stasis between the private and public spheres; although gifting them was often a public matter, the inscriptions on them and their existence after which were deeply intimate—often seen only du</w:t>
      </w:r>
      <w:r>
        <w:t>ring a woman's undressing.</w:t>
      </w:r>
      <w:r>
        <w:rPr>
          <w:vertAlign w:val="superscript"/>
        </w:rPr>
        <w:footnoteReference w:id="49"/>
      </w:r>
      <w:r>
        <w:t xml:space="preserve"> The phallic shape worn on the woman gifted by a man then marked her as property and was a private signal of her perceived lost virtue and corruption.</w:t>
      </w:r>
      <w:r>
        <w:rPr>
          <w:vertAlign w:val="superscript"/>
        </w:rPr>
        <w:footnoteReference w:id="50"/>
      </w:r>
    </w:p>
    <w:p w14:paraId="0000000C" w14:textId="77777777" w:rsidR="00DD44A3" w:rsidRDefault="00E7744B">
      <w:pPr>
        <w:spacing w:line="480" w:lineRule="auto"/>
        <w:ind w:firstLine="720"/>
      </w:pPr>
      <w:r>
        <w:t>Another fear often cited by men circa the 16th century is the fact that sta</w:t>
      </w:r>
      <w:r>
        <w:t>ys and other body-changing aspects of material culture prevented men from being able to distinguish the difference between rich “ladies” and poor “laundresses”.</w:t>
      </w:r>
      <w:r>
        <w:rPr>
          <w:vertAlign w:val="superscript"/>
        </w:rPr>
        <w:footnoteReference w:id="51"/>
      </w:r>
      <w:r>
        <w:t xml:space="preserve"> Although this was not an issue when stays (or at this time pairs of bodies) appeared since th</w:t>
      </w:r>
      <w:r>
        <w:t>ey were primarily worn by royalty and nobility, they gradually disseminated down to lower levels of society. Although numerous sumptuary laws attempted to prevent lower class women from taking part in fashion, as stays became more popular, lower income wom</w:t>
      </w:r>
      <w:r>
        <w:t xml:space="preserve">en used them to signal their “advancements in social status”. </w:t>
      </w:r>
      <w:r>
        <w:rPr>
          <w:vertAlign w:val="superscript"/>
        </w:rPr>
        <w:footnoteReference w:id="52"/>
      </w:r>
      <w:r>
        <w:t xml:space="preserve"> This of course caused anxieties by blurring the lines of class distinctions. Dress could shape someone into a respectable person or a vain creature, confusing not only the wealthy and poor bu</w:t>
      </w:r>
      <w:r>
        <w:t>t the immoral and virtuous.</w:t>
      </w:r>
      <w:r>
        <w:rPr>
          <w:vertAlign w:val="superscript"/>
        </w:rPr>
        <w:footnoteReference w:id="53"/>
      </w:r>
      <w:r>
        <w:t xml:space="preserve"> Often the way that women of power maintained their control was to exhibit their wealth in clothing, which meant that the rich but non-social elite (such as merchants and their wives) could achieve the same effect by purchasing</w:t>
      </w:r>
      <w:r>
        <w:t xml:space="preserve"> clothing or accessories.</w:t>
      </w:r>
      <w:r>
        <w:rPr>
          <w:vertAlign w:val="superscript"/>
        </w:rPr>
        <w:footnoteReference w:id="54"/>
      </w:r>
      <w:r>
        <w:t xml:space="preserve"> In this, a separate discussion could be had of the market of ‘semi-luxury’ and </w:t>
      </w:r>
      <w:r>
        <w:lastRenderedPageBreak/>
        <w:t>‘cost conscious’ goods which allowed even middle class women to wear finery. Accessories—which I postulate busks and stays are among—were so dangerou</w:t>
      </w:r>
      <w:r>
        <w:t>s in the Early Modern era because they were so “changeable in material form”, easily replaced or traded unlike other garments.</w:t>
      </w:r>
      <w:r>
        <w:rPr>
          <w:vertAlign w:val="superscript"/>
        </w:rPr>
        <w:footnoteReference w:id="55"/>
      </w:r>
      <w:r>
        <w:t xml:space="preserve"> Their flexibility allowed those of lower classes to challenge their social position. Status was fundamental to how people understood each other, who they could associate with, and how they should act around others; this made its confusion particularly dan</w:t>
      </w:r>
      <w:r>
        <w:t>gerous in the eyes of moralists and the social elite.</w:t>
      </w:r>
      <w:r>
        <w:rPr>
          <w:vertAlign w:val="superscript"/>
        </w:rPr>
        <w:footnoteReference w:id="56"/>
      </w:r>
      <w:r>
        <w:t xml:space="preserve"> Unlike the other aspects of culture, status—ironically the one thing today that is malleable—was immovable; although someone could marry up or gain wealth in business ventures, there would still be ma</w:t>
      </w:r>
      <w:r>
        <w:t>ny people who refused to see them as equal unless they had been born a gentile woman or man. Not only did women show their status through the means most commonly noted—the size of farthingales, amount or expense of material or accessories—but they could sh</w:t>
      </w:r>
      <w:r>
        <w:t>ow their good breeding and upbringing through their posture.</w:t>
      </w:r>
      <w:r>
        <w:rPr>
          <w:vertAlign w:val="superscript"/>
        </w:rPr>
        <w:footnoteReference w:id="57"/>
      </w:r>
      <w:r>
        <w:t xml:space="preserve"> Stays and busks in the hands of everyday women complicated this however, now even the lowest class women could mimic this good posture with the assistance of a busk.</w:t>
      </w:r>
      <w:r>
        <w:rPr>
          <w:vertAlign w:val="superscript"/>
        </w:rPr>
        <w:footnoteReference w:id="58"/>
      </w:r>
      <w:r>
        <w:t xml:space="preserve"> Busks then came to be ano</w:t>
      </w:r>
      <w:r>
        <w:t>ther ornament to materially improve or conceal one's social standing.</w:t>
      </w:r>
      <w:r>
        <w:rPr>
          <w:vertAlign w:val="superscript"/>
        </w:rPr>
        <w:footnoteReference w:id="59"/>
      </w:r>
    </w:p>
    <w:p w14:paraId="0000000D" w14:textId="77777777" w:rsidR="00DD44A3" w:rsidRDefault="00E7744B">
      <w:pPr>
        <w:spacing w:line="480" w:lineRule="auto"/>
        <w:ind w:firstLine="720"/>
      </w:pPr>
      <w:r>
        <w:t>Additionally, busks served to confuse gender in the Early Modern period. At this time, clothing was expected to be “clearly marked by gender”; it served to create the distinction of bo</w:t>
      </w:r>
      <w:r>
        <w:t>dies between sexes.</w:t>
      </w:r>
      <w:r>
        <w:rPr>
          <w:vertAlign w:val="superscript"/>
        </w:rPr>
        <w:footnoteReference w:id="60"/>
      </w:r>
      <w:r>
        <w:t xml:space="preserve"> To some scholars, stays existed in part to accentuate gender differences in women by exaggerating form; to other scholars, the stays did the exact opposite, confusing gender presentation.</w:t>
      </w:r>
      <w:r>
        <w:rPr>
          <w:vertAlign w:val="superscript"/>
        </w:rPr>
        <w:footnoteReference w:id="61"/>
      </w:r>
      <w:r>
        <w:t xml:space="preserve"> Although it would seem that in Early Modern </w:t>
      </w:r>
      <w:r>
        <w:t xml:space="preserve">Europe there was </w:t>
      </w:r>
      <w:r>
        <w:lastRenderedPageBreak/>
        <w:t>a “divinely ordained basis” for gender, it was actually something highly malleable compared to today.</w:t>
      </w:r>
      <w:r>
        <w:rPr>
          <w:vertAlign w:val="superscript"/>
        </w:rPr>
        <w:footnoteReference w:id="62"/>
      </w:r>
      <w:r>
        <w:t xml:space="preserve"> This put gender in a precarious state of order in a constant stasis of defending its position, at once an empty and overflowing categor</w:t>
      </w:r>
      <w:r>
        <w:t>y.</w:t>
      </w:r>
      <w:r>
        <w:rPr>
          <w:vertAlign w:val="superscript"/>
        </w:rPr>
        <w:footnoteReference w:id="63"/>
      </w:r>
      <w:r>
        <w:t xml:space="preserve"> Empty because it was functionally unfixed, and changeable and overflowing because it was given so much importance in the Early Modern world, and shaped entirely how people viewed one another.  Busks “[served] to disrupt the gender order” of Early Mode</w:t>
      </w:r>
      <w:r>
        <w:t>rn Europe by giving women the phallic object they inherently lacked, according to the Galenic model.</w:t>
      </w:r>
      <w:r>
        <w:rPr>
          <w:vertAlign w:val="superscript"/>
        </w:rPr>
        <w:footnoteReference w:id="64"/>
      </w:r>
      <w:r>
        <w:t xml:space="preserve"> To many men, the phallic shape of the busk made them fear women becoming men through wearing them, as if gaining a penis.</w:t>
      </w:r>
      <w:r>
        <w:rPr>
          <w:vertAlign w:val="superscript"/>
        </w:rPr>
        <w:footnoteReference w:id="65"/>
      </w:r>
      <w:r>
        <w:t xml:space="preserve"> The busk also became a fictit</w:t>
      </w:r>
      <w:r>
        <w:t>ious rival for the male lover.</w:t>
      </w:r>
      <w:r>
        <w:rPr>
          <w:vertAlign w:val="superscript"/>
        </w:rPr>
        <w:footnoteReference w:id="66"/>
      </w:r>
      <w:r>
        <w:t xml:space="preserve"> A busk, constantly worn on the woman, was a “prosthesis” which was “larger and harder” than their lovers.</w:t>
      </w:r>
      <w:r>
        <w:rPr>
          <w:vertAlign w:val="superscript"/>
        </w:rPr>
        <w:footnoteReference w:id="67"/>
      </w:r>
      <w:r>
        <w:t xml:space="preserve"> A somewhat humorous comparison to the busk can be drawn to the poking stick of women, which were “[stigmatized] ...</w:t>
      </w:r>
      <w:r>
        <w:t>as sexually promiscuous”.</w:t>
      </w:r>
      <w:r>
        <w:rPr>
          <w:vertAlign w:val="superscript"/>
        </w:rPr>
        <w:footnoteReference w:id="68"/>
      </w:r>
      <w:r>
        <w:t xml:space="preserve"> Such sticks gained the same anxiety also based on their “phallic morphology”.</w:t>
      </w:r>
      <w:r>
        <w:rPr>
          <w:vertAlign w:val="superscript"/>
        </w:rPr>
        <w:footnoteReference w:id="69"/>
      </w:r>
      <w:r>
        <w:t xml:space="preserve"> These objects of femininity in both cases then became a source of anxiety in yet another way, since many men began to fear that women were in some w</w:t>
      </w:r>
      <w:r>
        <w:t>ay becoming male. Although this idea is almost preposterous to modern thoughts of gender, in the Early Modern Era, gender—much like race—was something far more malleable. Wearing certain ornaments could, in their perspective, literally—in some cases even l</w:t>
      </w:r>
      <w:r>
        <w:t>egally—transform someone into another gender.</w:t>
      </w:r>
      <w:r>
        <w:rPr>
          <w:vertAlign w:val="superscript"/>
        </w:rPr>
        <w:footnoteReference w:id="70"/>
      </w:r>
      <w:r>
        <w:t xml:space="preserve"> There are cases in Early Modern Europe of women marrying other women and using dildos to consummate the marriage. As a result, this act legally made one of the </w:t>
      </w:r>
      <w:r>
        <w:lastRenderedPageBreak/>
        <w:t>women the husband.</w:t>
      </w:r>
      <w:r>
        <w:rPr>
          <w:vertAlign w:val="superscript"/>
        </w:rPr>
        <w:footnoteReference w:id="71"/>
      </w:r>
      <w:r>
        <w:t xml:space="preserve"> This demonstrates the power of material culture to transform the body of i</w:t>
      </w:r>
      <w:r>
        <w:t>ts user.</w:t>
      </w:r>
      <w:r>
        <w:rPr>
          <w:vertAlign w:val="superscript"/>
        </w:rPr>
        <w:footnoteReference w:id="72"/>
      </w:r>
      <w:r>
        <w:t xml:space="preserve"> One other fear of busks was that it served to give women a “masculine visual effect”, very similarly transforming them in some way into men.</w:t>
      </w:r>
      <w:r>
        <w:rPr>
          <w:vertAlign w:val="superscript"/>
        </w:rPr>
        <w:footnoteReference w:id="73"/>
      </w:r>
      <w:r>
        <w:t xml:space="preserve"> Evidently, busks and stays could also be used to challenge gender presentation in the Early Modern per</w:t>
      </w:r>
      <w:r>
        <w:t>iod.</w:t>
      </w:r>
    </w:p>
    <w:p w14:paraId="0000000E" w14:textId="77777777" w:rsidR="00DD44A3" w:rsidRDefault="00E7744B">
      <w:pPr>
        <w:spacing w:line="480" w:lineRule="auto"/>
        <w:ind w:firstLine="720"/>
      </w:pPr>
      <w:r>
        <w:t>Furthermore, the busk is one of the most important aspects in the discussion of female body shaping; although an object gendered feminine, it was an artifact of “male … desire worn on the female body”.</w:t>
      </w:r>
      <w:r>
        <w:rPr>
          <w:vertAlign w:val="superscript"/>
        </w:rPr>
        <w:footnoteReference w:id="74"/>
      </w:r>
      <w:r>
        <w:t xml:space="preserve"> This object created to shape female bodies beca</w:t>
      </w:r>
      <w:r>
        <w:t>me an object portraying not femininity itself but “sexually possessive masculinity”.</w:t>
      </w:r>
      <w:r>
        <w:rPr>
          <w:vertAlign w:val="superscript"/>
        </w:rPr>
        <w:footnoteReference w:id="75"/>
      </w:r>
      <w:r>
        <w:t xml:space="preserve"> When men wrote of the busk, they often “[mythologized] it” as something so intrinsically erotic and linked to the body of women.</w:t>
      </w:r>
      <w:r>
        <w:rPr>
          <w:vertAlign w:val="superscript"/>
        </w:rPr>
        <w:footnoteReference w:id="76"/>
      </w:r>
      <w:r>
        <w:t xml:space="preserve"> It is not surprising in the case of th</w:t>
      </w:r>
      <w:r>
        <w:t>e busk, however, that it is so sexualised by men. They came to symbolise a male lover’s “conquest and possession” and his projection of himself onto a woman.</w:t>
      </w:r>
      <w:r>
        <w:rPr>
          <w:vertAlign w:val="superscript"/>
        </w:rPr>
        <w:footnoteReference w:id="77"/>
      </w:r>
      <w:r>
        <w:t xml:space="preserve"> To many men, giving a busk was analogous to a “hunting trophy”, marking all of their courted lad</w:t>
      </w:r>
      <w:r>
        <w:t>ies and mistresses as their territory.</w:t>
      </w:r>
      <w:r>
        <w:rPr>
          <w:vertAlign w:val="superscript"/>
        </w:rPr>
        <w:footnoteReference w:id="78"/>
      </w:r>
      <w:r>
        <w:t xml:space="preserve"> These busks find, then, another way to exemplify the anxious masculinity of Early Modern Europe, in showing the necessity for men to mark where they have been in a line of conquests—which of course was not the same </w:t>
      </w:r>
      <w:r>
        <w:t>for women who were often met with shame for this. Here we see the need for men to enforce their sexuality on their female lovers. The act of men impressing their sexuality onto distinctly feminine dress does not exist only in the realm of ‘busks and bodies</w:t>
      </w:r>
      <w:r>
        <w:t xml:space="preserve">’ however; in the world of </w:t>
      </w:r>
      <w:proofErr w:type="spellStart"/>
      <w:r>
        <w:t>theater</w:t>
      </w:r>
      <w:proofErr w:type="spellEnd"/>
      <w:r>
        <w:t>, poking sticks were imbued with the same sexual meanings and anxieties as busks were.</w:t>
      </w:r>
      <w:r>
        <w:rPr>
          <w:vertAlign w:val="superscript"/>
        </w:rPr>
        <w:footnoteReference w:id="79"/>
      </w:r>
      <w:r>
        <w:t xml:space="preserve"> In both cases, one can see how men saw the need to impress their anxiety and </w:t>
      </w:r>
      <w:r>
        <w:lastRenderedPageBreak/>
        <w:t>possessiveness onto clothing because they understood the</w:t>
      </w:r>
      <w:r>
        <w:t xml:space="preserve"> power of it; they saw how it could shape the female form.</w:t>
      </w:r>
    </w:p>
    <w:p w14:paraId="0000000F" w14:textId="77777777" w:rsidR="00DD44A3" w:rsidRDefault="00E7744B">
      <w:pPr>
        <w:spacing w:line="480" w:lineRule="auto"/>
        <w:ind w:firstLine="720"/>
      </w:pPr>
      <w:r>
        <w:t>There are an interesting number of connections that can be drawn between stays and busks and other body-shaping garments. Busks and stays were one of the few ways women could exert their control in</w:t>
      </w:r>
      <w:r>
        <w:t xml:space="preserve"> a world where they held comparatively less power than men. Many famous women—like Queen Elizabeth—fully understood the power of clothing to form them into what image they wanted to present.</w:t>
      </w:r>
      <w:r>
        <w:rPr>
          <w:vertAlign w:val="superscript"/>
        </w:rPr>
        <w:footnoteReference w:id="80"/>
      </w:r>
      <w:r>
        <w:t xml:space="preserve"> Those in power knew fully that by putting on a certain garment—</w:t>
      </w:r>
      <w:r>
        <w:t>like the crown and robe of a queen or king at their coronations—</w:t>
      </w:r>
      <w:proofErr w:type="gramStart"/>
      <w:r>
        <w:t>symbolically  transformed</w:t>
      </w:r>
      <w:proofErr w:type="gramEnd"/>
      <w:r>
        <w:t xml:space="preserve"> their bodies and status’.</w:t>
      </w:r>
      <w:r>
        <w:rPr>
          <w:vertAlign w:val="superscript"/>
        </w:rPr>
        <w:footnoteReference w:id="81"/>
      </w:r>
      <w:r>
        <w:t xml:space="preserve"> Conversely then, those who lacked power understood that clothing could empower them and give them some level of control. Body-shaping garm</w:t>
      </w:r>
      <w:r>
        <w:t xml:space="preserve">ents, stays, and the busks enclosed within them allowed women to shape themselves into the ‘ideal’ form of their century, but more importantly was that they allowed women to </w:t>
      </w:r>
      <w:proofErr w:type="spellStart"/>
      <w:r>
        <w:t>transnature</w:t>
      </w:r>
      <w:proofErr w:type="spellEnd"/>
      <w:r>
        <w:t xml:space="preserve"> their bodies, period. This discussion does not end with busks and </w:t>
      </w:r>
      <w:proofErr w:type="gramStart"/>
      <w:r>
        <w:t>stay</w:t>
      </w:r>
      <w:r>
        <w:t>s, but</w:t>
      </w:r>
      <w:proofErr w:type="gramEnd"/>
      <w:r>
        <w:t xml:space="preserve"> extends to many other garments; farthingales helped women to define their own space, cosmetics allowed women to conceal potentially unsightly tan skin, and accessories signalled one’s virtue or status.</w:t>
      </w:r>
      <w:r>
        <w:rPr>
          <w:vertAlign w:val="superscript"/>
        </w:rPr>
        <w:footnoteReference w:id="82"/>
      </w:r>
      <w:r>
        <w:t xml:space="preserve"> All of the women who used these understood no</w:t>
      </w:r>
      <w:r>
        <w:t>t only their ability to functionally change their gender, race or status, but also how they could shape their own power. Perhaps, then, men were right to be anxious since clothing was something nearly impossible to control even through numerous sumptuary l</w:t>
      </w:r>
      <w:r>
        <w:t>aws that struggled to keep up with ever-evolving desires and tastes.</w:t>
      </w:r>
      <w:r>
        <w:rPr>
          <w:vertAlign w:val="superscript"/>
        </w:rPr>
        <w:footnoteReference w:id="83"/>
      </w:r>
      <w:r>
        <w:t xml:space="preserve"> While concerns of female sexual promiscuity, female corruptibility, status concealment, and confused gender roles may seem arbitrary and unfounded by today’s standards, clothing truly h</w:t>
      </w:r>
      <w:r>
        <w:t xml:space="preserve">eld power in the Early Modern world. Male anxiety in the Early Modern Era was founded on genuine fears of the malleability of social boundaries that seem so fixed today, and clothing was just the </w:t>
      </w:r>
      <w:r>
        <w:lastRenderedPageBreak/>
        <w:t>canvas upon which they projected their fears, because clothi</w:t>
      </w:r>
      <w:r>
        <w:t xml:space="preserve">ng was the primary way people could change who they were. </w:t>
      </w:r>
    </w:p>
    <w:p w14:paraId="00000010" w14:textId="77777777" w:rsidR="00DD44A3" w:rsidRDefault="00DD44A3">
      <w:pPr>
        <w:spacing w:line="480" w:lineRule="auto"/>
      </w:pPr>
    </w:p>
    <w:p w14:paraId="00000011" w14:textId="77777777" w:rsidR="00DD44A3" w:rsidRDefault="00DD44A3">
      <w:pPr>
        <w:spacing w:line="480" w:lineRule="auto"/>
      </w:pPr>
    </w:p>
    <w:p w14:paraId="00000012" w14:textId="77777777" w:rsidR="00DD44A3" w:rsidRDefault="00E7744B">
      <w:pPr>
        <w:spacing w:line="480" w:lineRule="auto"/>
      </w:pPr>
      <w:r>
        <w:br w:type="page"/>
      </w:r>
    </w:p>
    <w:p w14:paraId="00000013" w14:textId="77777777" w:rsidR="00DD44A3" w:rsidRDefault="00E7744B">
      <w:pPr>
        <w:spacing w:line="480" w:lineRule="auto"/>
      </w:pPr>
      <w:r>
        <w:lastRenderedPageBreak/>
        <w:t>Bibliography</w:t>
      </w:r>
    </w:p>
    <w:p w14:paraId="00000014" w14:textId="77777777" w:rsidR="00DD44A3" w:rsidRDefault="00E7744B">
      <w:proofErr w:type="spellStart"/>
      <w:r>
        <w:t>Auslander</w:t>
      </w:r>
      <w:proofErr w:type="spellEnd"/>
      <w:r>
        <w:t xml:space="preserve">, Leora. “Deploying Material Culture to Write the History of Gender and </w:t>
      </w:r>
      <w:proofErr w:type="gramStart"/>
      <w:r>
        <w:t>Sexuality :</w:t>
      </w:r>
      <w:proofErr w:type="gramEnd"/>
      <w:r>
        <w:t xml:space="preserve"> The</w:t>
      </w:r>
    </w:p>
    <w:p w14:paraId="00000015" w14:textId="77777777" w:rsidR="00DD44A3" w:rsidRDefault="00E7744B">
      <w:pPr>
        <w:ind w:left="720"/>
      </w:pPr>
      <w:r>
        <w:t xml:space="preserve">Example of Clothing and Textiles.” </w:t>
      </w:r>
      <w:r>
        <w:rPr>
          <w:i/>
        </w:rPr>
        <w:t>Clio</w:t>
      </w:r>
      <w:r>
        <w:t xml:space="preserve"> (English Edition), no. 40 (January 1, 2014): 157–78. https://www.jstor.org/stable/26238767.</w:t>
      </w:r>
    </w:p>
    <w:p w14:paraId="00000016" w14:textId="77777777" w:rsidR="00DD44A3" w:rsidRDefault="00DD44A3">
      <w:pPr>
        <w:ind w:left="720"/>
      </w:pPr>
    </w:p>
    <w:p w14:paraId="00000017" w14:textId="77777777" w:rsidR="00DD44A3" w:rsidRDefault="00E7744B">
      <w:pPr>
        <w:rPr>
          <w:i/>
        </w:rPr>
      </w:pPr>
      <w:r>
        <w:t xml:space="preserve">Bendall, Sarah A. </w:t>
      </w:r>
      <w:r>
        <w:rPr>
          <w:i/>
        </w:rPr>
        <w:t>Shaping Femininity: Foundation Garments, the Body and Women in Early</w:t>
      </w:r>
    </w:p>
    <w:p w14:paraId="00000018" w14:textId="77777777" w:rsidR="00DD44A3" w:rsidRDefault="00E7744B">
      <w:pPr>
        <w:ind w:left="720"/>
      </w:pPr>
      <w:r>
        <w:rPr>
          <w:i/>
        </w:rPr>
        <w:t>Modern England</w:t>
      </w:r>
      <w:r>
        <w:t>. London: Ava Academia, 2021. DOI: 10.5040/9781350164147.</w:t>
      </w:r>
    </w:p>
    <w:p w14:paraId="00000019" w14:textId="77777777" w:rsidR="00DD44A3" w:rsidRDefault="00DD44A3">
      <w:pPr>
        <w:ind w:left="720"/>
      </w:pPr>
    </w:p>
    <w:p w14:paraId="0000001A" w14:textId="77777777" w:rsidR="00DD44A3" w:rsidRDefault="00E7744B">
      <w:r>
        <w:t>Be</w:t>
      </w:r>
      <w:r>
        <w:t>ndall, Sarah A. “‘Take Measure of Your Wide and Flaunting Garments’: The Farthingale,</w:t>
      </w:r>
    </w:p>
    <w:p w14:paraId="0000001B" w14:textId="77777777" w:rsidR="00DD44A3" w:rsidRDefault="00E7744B">
      <w:pPr>
        <w:ind w:left="720"/>
      </w:pPr>
      <w:r>
        <w:t xml:space="preserve">Gender and the Consumption of Space in Elizabethan and Jacobean England.” Renaissance Studies: </w:t>
      </w:r>
      <w:r>
        <w:rPr>
          <w:i/>
        </w:rPr>
        <w:t xml:space="preserve">Journal of the Society for Renaissance Studies </w:t>
      </w:r>
      <w:r>
        <w:t>33, no. 5 (November 2019): 712–37. doi:10.1111/rest.12537.</w:t>
      </w:r>
    </w:p>
    <w:p w14:paraId="0000001C" w14:textId="77777777" w:rsidR="00DD44A3" w:rsidRDefault="00DD44A3">
      <w:pPr>
        <w:ind w:left="720"/>
      </w:pPr>
    </w:p>
    <w:p w14:paraId="0000001D" w14:textId="77777777" w:rsidR="00DD44A3" w:rsidRDefault="00E7744B">
      <w:r>
        <w:t xml:space="preserve">Bendall, Sarah A. “To Write a </w:t>
      </w:r>
      <w:proofErr w:type="spellStart"/>
      <w:r>
        <w:t>Distick</w:t>
      </w:r>
      <w:proofErr w:type="spellEnd"/>
      <w:r>
        <w:t xml:space="preserve"> upon It: Busks a</w:t>
      </w:r>
      <w:r>
        <w:t>nd the Language of Courtship and Sexual</w:t>
      </w:r>
    </w:p>
    <w:p w14:paraId="0000001E" w14:textId="77777777" w:rsidR="00DD44A3" w:rsidRDefault="00E7744B">
      <w:pPr>
        <w:ind w:left="720"/>
      </w:pPr>
      <w:r>
        <w:t xml:space="preserve">Desire in Sixteenth- and Seventeenth-Century England.” </w:t>
      </w:r>
      <w:r>
        <w:rPr>
          <w:i/>
        </w:rPr>
        <w:t>Gender and History</w:t>
      </w:r>
      <w:r>
        <w:t xml:space="preserve"> 26, no. 2: 199–222. Accessed December 7, 2021. doi:10.1111/1468-0424.12066.</w:t>
      </w:r>
    </w:p>
    <w:p w14:paraId="0000001F" w14:textId="77777777" w:rsidR="00DD44A3" w:rsidRDefault="00DD44A3">
      <w:pPr>
        <w:ind w:left="720"/>
      </w:pPr>
    </w:p>
    <w:p w14:paraId="00000020" w14:textId="77777777" w:rsidR="00DD44A3" w:rsidRDefault="00E7744B">
      <w:proofErr w:type="spellStart"/>
      <w:r>
        <w:t>Breitenberg</w:t>
      </w:r>
      <w:proofErr w:type="spellEnd"/>
      <w:r>
        <w:t xml:space="preserve">, Mark. </w:t>
      </w:r>
      <w:r>
        <w:rPr>
          <w:i/>
        </w:rPr>
        <w:t>Anxious Masculinity in Early Modern Englan</w:t>
      </w:r>
      <w:r>
        <w:t>d. C</w:t>
      </w:r>
      <w:r>
        <w:t>ambridge Studies in</w:t>
      </w:r>
    </w:p>
    <w:p w14:paraId="00000021" w14:textId="77777777" w:rsidR="00DD44A3" w:rsidRDefault="00E7744B">
      <w:pPr>
        <w:ind w:left="720"/>
      </w:pPr>
      <w:r>
        <w:t>Renaissance Literature and Culture: 10. Cambridge University Press, 1996. https://doi-org.login.ezproxy.library.ualberta.ca/10.1017/CBO9780511586231.</w:t>
      </w:r>
    </w:p>
    <w:p w14:paraId="00000022" w14:textId="77777777" w:rsidR="00DD44A3" w:rsidRDefault="00DD44A3">
      <w:pPr>
        <w:ind w:left="720"/>
      </w:pPr>
    </w:p>
    <w:p w14:paraId="00000023" w14:textId="77777777" w:rsidR="00DD44A3" w:rsidRDefault="00E7744B">
      <w:pPr>
        <w:rPr>
          <w:i/>
        </w:rPr>
      </w:pPr>
      <w:r>
        <w:t>Feinstein, Sandy. “Donne’s ‘Elegy 19’: The Busk between a Pair of Bodies.”</w:t>
      </w:r>
      <w:r>
        <w:rPr>
          <w:i/>
        </w:rPr>
        <w:t xml:space="preserve"> Studies in</w:t>
      </w:r>
      <w:r>
        <w:rPr>
          <w:i/>
        </w:rPr>
        <w:t xml:space="preserve"> English</w:t>
      </w:r>
    </w:p>
    <w:p w14:paraId="00000024" w14:textId="77777777" w:rsidR="00DD44A3" w:rsidRDefault="00E7744B">
      <w:pPr>
        <w:ind w:left="720"/>
      </w:pPr>
      <w:r>
        <w:rPr>
          <w:i/>
        </w:rPr>
        <w:t>Literature, 1500-1900</w:t>
      </w:r>
      <w:r>
        <w:t xml:space="preserve"> 34, no. 1 (January 1, 1994): 61-78. https://login.ezproxy.library.ualberta.ca/login?url=https://www.proquest.com/scholarly-journals/donnes-elegy-19-busk-between-pair-bodies/docview/1297396042/se-2?accountid=14474.</w:t>
      </w:r>
    </w:p>
    <w:p w14:paraId="00000025" w14:textId="77777777" w:rsidR="00DD44A3" w:rsidRDefault="00DD44A3">
      <w:pPr>
        <w:ind w:left="720"/>
      </w:pPr>
    </w:p>
    <w:p w14:paraId="00000026" w14:textId="77777777" w:rsidR="00DD44A3" w:rsidRDefault="00E7744B">
      <w:proofErr w:type="spellStart"/>
      <w:r>
        <w:t>Gowing</w:t>
      </w:r>
      <w:proofErr w:type="spellEnd"/>
      <w:r>
        <w:t>, La</w:t>
      </w:r>
      <w:r>
        <w:t xml:space="preserve">ura. </w:t>
      </w:r>
      <w:r>
        <w:rPr>
          <w:i/>
        </w:rPr>
        <w:t xml:space="preserve">Common </w:t>
      </w:r>
      <w:proofErr w:type="gramStart"/>
      <w:r>
        <w:rPr>
          <w:i/>
        </w:rPr>
        <w:t>Bodies :</w:t>
      </w:r>
      <w:proofErr w:type="gramEnd"/>
      <w:r>
        <w:rPr>
          <w:i/>
        </w:rPr>
        <w:t xml:space="preserve"> Women, Touch and Power in Seventeenth-Century England</w:t>
      </w:r>
      <w:r>
        <w:t>.</w:t>
      </w:r>
    </w:p>
    <w:p w14:paraId="00000027" w14:textId="77777777" w:rsidR="00DD44A3" w:rsidRDefault="00E7744B">
      <w:pPr>
        <w:ind w:firstLine="720"/>
      </w:pPr>
      <w:r>
        <w:t>New Haven: Yale University Press. 2003.</w:t>
      </w:r>
    </w:p>
    <w:p w14:paraId="00000028" w14:textId="77777777" w:rsidR="00DD44A3" w:rsidRDefault="00DD44A3">
      <w:pPr>
        <w:ind w:left="720"/>
      </w:pPr>
    </w:p>
    <w:p w14:paraId="00000029" w14:textId="77777777" w:rsidR="00DD44A3" w:rsidRDefault="00E7744B">
      <w:pPr>
        <w:rPr>
          <w:i/>
        </w:rPr>
      </w:pPr>
      <w:r>
        <w:t xml:space="preserve">Jones, Ann R., and P. </w:t>
      </w:r>
      <w:proofErr w:type="spellStart"/>
      <w:r>
        <w:t>Stallybrass</w:t>
      </w:r>
      <w:proofErr w:type="spellEnd"/>
      <w:r>
        <w:t>. “Of Busks and Bodies</w:t>
      </w:r>
      <w:r>
        <w:rPr>
          <w:i/>
        </w:rPr>
        <w:t xml:space="preserve">” </w:t>
      </w:r>
      <w:r>
        <w:t>in</w:t>
      </w:r>
      <w:r>
        <w:rPr>
          <w:i/>
        </w:rPr>
        <w:t xml:space="preserve"> </w:t>
      </w:r>
      <w:proofErr w:type="gramStart"/>
      <w:r>
        <w:rPr>
          <w:i/>
        </w:rPr>
        <w:t>The</w:t>
      </w:r>
      <w:proofErr w:type="gramEnd"/>
      <w:r>
        <w:rPr>
          <w:i/>
        </w:rPr>
        <w:t xml:space="preserve"> forms of Renaissance thought:</w:t>
      </w:r>
    </w:p>
    <w:p w14:paraId="0000002A" w14:textId="77777777" w:rsidR="00DD44A3" w:rsidRDefault="00E7744B">
      <w:pPr>
        <w:ind w:left="720"/>
      </w:pPr>
      <w:r>
        <w:rPr>
          <w:i/>
        </w:rPr>
        <w:t>New essays in literature and culture</w:t>
      </w:r>
      <w:r>
        <w:t>. London:</w:t>
      </w:r>
      <w:r>
        <w:t xml:space="preserve"> Palgrave Macmillan. 2008. doi:10.1057/9780230228443.</w:t>
      </w:r>
    </w:p>
    <w:p w14:paraId="0000002B" w14:textId="77777777" w:rsidR="00DD44A3" w:rsidRDefault="00DD44A3">
      <w:pPr>
        <w:ind w:left="720"/>
      </w:pPr>
    </w:p>
    <w:p w14:paraId="0000002C" w14:textId="77777777" w:rsidR="00DD44A3" w:rsidRDefault="00E7744B">
      <w:r>
        <w:t xml:space="preserve">Jones, Ann </w:t>
      </w:r>
      <w:proofErr w:type="gramStart"/>
      <w:r>
        <w:t>R.</w:t>
      </w:r>
      <w:proofErr w:type="gramEnd"/>
      <w:r>
        <w:t xml:space="preserve"> and Peter </w:t>
      </w:r>
      <w:proofErr w:type="spellStart"/>
      <w:r>
        <w:t>Stallybrass</w:t>
      </w:r>
      <w:proofErr w:type="spellEnd"/>
      <w:r>
        <w:t xml:space="preserve">. </w:t>
      </w:r>
      <w:r>
        <w:rPr>
          <w:i/>
        </w:rPr>
        <w:t>Renaissance Clothing and the Materials of Memory</w:t>
      </w:r>
      <w:r>
        <w:t>.</w:t>
      </w:r>
    </w:p>
    <w:p w14:paraId="0000002D" w14:textId="77777777" w:rsidR="00DD44A3" w:rsidRDefault="00E7744B">
      <w:pPr>
        <w:ind w:firstLine="720"/>
      </w:pPr>
      <w:r>
        <w:t>Cambridge: Cambridge University Press, 2000.</w:t>
      </w:r>
    </w:p>
    <w:p w14:paraId="0000002E" w14:textId="77777777" w:rsidR="00DD44A3" w:rsidRDefault="00DD44A3">
      <w:pPr>
        <w:ind w:left="720"/>
      </w:pPr>
    </w:p>
    <w:p w14:paraId="0000002F" w14:textId="77777777" w:rsidR="00DD44A3" w:rsidRDefault="00E7744B">
      <w:r>
        <w:t xml:space="preserve">Lemire, Beverly. “The </w:t>
      </w:r>
      <w:proofErr w:type="spellStart"/>
      <w:r>
        <w:t>Secondhand</w:t>
      </w:r>
      <w:proofErr w:type="spellEnd"/>
      <w:r>
        <w:t xml:space="preserve"> Clothing Trade in Europe and beyond</w:t>
      </w:r>
      <w:r>
        <w:t>: Stages of</w:t>
      </w:r>
    </w:p>
    <w:p w14:paraId="00000030" w14:textId="77777777" w:rsidR="00DD44A3" w:rsidRDefault="00E7744B">
      <w:pPr>
        <w:ind w:left="720"/>
      </w:pPr>
      <w:r>
        <w:t xml:space="preserve">Development and Enterprise in a Changing Material World, C. 1600-1850.” </w:t>
      </w:r>
      <w:r>
        <w:rPr>
          <w:i/>
        </w:rPr>
        <w:t>Textile: The Journal of Cloth and Culture</w:t>
      </w:r>
      <w:r>
        <w:t xml:space="preserve"> 10, no. 2: 144–63. doi:10.2752/175183512X13315695424392.</w:t>
      </w:r>
    </w:p>
    <w:p w14:paraId="00000031" w14:textId="77777777" w:rsidR="00DD44A3" w:rsidRDefault="00DD44A3">
      <w:pPr>
        <w:ind w:left="720"/>
      </w:pPr>
    </w:p>
    <w:p w14:paraId="00000032" w14:textId="77777777" w:rsidR="00DD44A3" w:rsidRDefault="00E7744B">
      <w:r>
        <w:lastRenderedPageBreak/>
        <w:t>López, Victoria Barahona, and José Nieto Sánchez. “Dressing the Poor: Th</w:t>
      </w:r>
      <w:r>
        <w:t>e Provision of</w:t>
      </w:r>
    </w:p>
    <w:p w14:paraId="00000033" w14:textId="77777777" w:rsidR="00DD44A3" w:rsidRDefault="00E7744B">
      <w:pPr>
        <w:ind w:left="720"/>
      </w:pPr>
      <w:r>
        <w:t xml:space="preserve">Clothing among the Lower Classes in Eighteenth-Century Madrid.” </w:t>
      </w:r>
      <w:r>
        <w:rPr>
          <w:i/>
        </w:rPr>
        <w:t>Textile History</w:t>
      </w:r>
      <w:r>
        <w:t xml:space="preserve"> 43, no. 1 (May 2012): 23–42. doi:10.1179/174329512X13284471321127.</w:t>
      </w:r>
    </w:p>
    <w:p w14:paraId="00000034" w14:textId="77777777" w:rsidR="00DD44A3" w:rsidRDefault="00DD44A3">
      <w:pPr>
        <w:ind w:left="720"/>
      </w:pPr>
    </w:p>
    <w:p w14:paraId="00000035" w14:textId="77777777" w:rsidR="00DD44A3" w:rsidRDefault="00E7744B">
      <w:r>
        <w:t xml:space="preserve">Mirabella, Bella. </w:t>
      </w:r>
      <w:proofErr w:type="spellStart"/>
      <w:proofErr w:type="gramStart"/>
      <w:r>
        <w:rPr>
          <w:i/>
        </w:rPr>
        <w:t>Ornamentalism</w:t>
      </w:r>
      <w:proofErr w:type="spellEnd"/>
      <w:r>
        <w:rPr>
          <w:i/>
        </w:rPr>
        <w:t> :</w:t>
      </w:r>
      <w:proofErr w:type="gramEnd"/>
      <w:r>
        <w:rPr>
          <w:i/>
        </w:rPr>
        <w:t xml:space="preserve"> The Art of Renaissance Accessories</w:t>
      </w:r>
      <w:r>
        <w:t>. Ann Arbor: University</w:t>
      </w:r>
    </w:p>
    <w:p w14:paraId="00000036" w14:textId="77777777" w:rsidR="00DD44A3" w:rsidRDefault="00E7744B">
      <w:pPr>
        <w:ind w:firstLine="720"/>
      </w:pPr>
      <w:r>
        <w:t>o</w:t>
      </w:r>
      <w:r>
        <w:t>f Michigan Press, 2011.</w:t>
      </w:r>
    </w:p>
    <w:p w14:paraId="00000037" w14:textId="77777777" w:rsidR="00DD44A3" w:rsidRDefault="00DD44A3">
      <w:pPr>
        <w:ind w:left="720"/>
      </w:pPr>
    </w:p>
    <w:p w14:paraId="00000038" w14:textId="77777777" w:rsidR="00DD44A3" w:rsidRDefault="00E7744B">
      <w:pPr>
        <w:rPr>
          <w:i/>
        </w:rPr>
      </w:pPr>
      <w:proofErr w:type="spellStart"/>
      <w:r>
        <w:t>Muravyeva</w:t>
      </w:r>
      <w:proofErr w:type="spellEnd"/>
      <w:r>
        <w:t xml:space="preserve">, Marianna, and Raisa Maria </w:t>
      </w:r>
      <w:proofErr w:type="spellStart"/>
      <w:r>
        <w:t>Toivo</w:t>
      </w:r>
      <w:proofErr w:type="spellEnd"/>
      <w:r>
        <w:t>.</w:t>
      </w:r>
      <w:r>
        <w:rPr>
          <w:i/>
        </w:rPr>
        <w:t xml:space="preserve"> Gender in Late Medieval and Early Modern</w:t>
      </w:r>
    </w:p>
    <w:p w14:paraId="00000039" w14:textId="77777777" w:rsidR="00DD44A3" w:rsidRDefault="00E7744B">
      <w:pPr>
        <w:ind w:left="720"/>
      </w:pPr>
      <w:r>
        <w:rPr>
          <w:i/>
        </w:rPr>
        <w:t>Europe</w:t>
      </w:r>
      <w:r>
        <w:t>. Routledge Research in Gender and History: Routledge, 2013 https://search-ebscohost-com.login.ezproxy.library.ualberta.ca/login.aspx?direct=true&amp;db=cat03710a&amp;AN=alb.8788363&amp;site=eds-live&amp;scope=site.</w:t>
      </w:r>
    </w:p>
    <w:p w14:paraId="0000003A" w14:textId="77777777" w:rsidR="00DD44A3" w:rsidRDefault="00DD44A3">
      <w:pPr>
        <w:ind w:left="720"/>
      </w:pPr>
    </w:p>
    <w:p w14:paraId="0000003B" w14:textId="77777777" w:rsidR="00DD44A3" w:rsidRDefault="00E7744B">
      <w:proofErr w:type="spellStart"/>
      <w:r>
        <w:t>Korda</w:t>
      </w:r>
      <w:proofErr w:type="spellEnd"/>
      <w:r>
        <w:t>, Natasha. “Sex, Starch-Houses, and Poking Sticks:</w:t>
      </w:r>
      <w:r>
        <w:t xml:space="preserve"> Alien Women’s Work and the</w:t>
      </w:r>
    </w:p>
    <w:p w14:paraId="0000003C" w14:textId="77777777" w:rsidR="00DD44A3" w:rsidRDefault="00E7744B">
      <w:pPr>
        <w:ind w:left="720"/>
      </w:pPr>
      <w:r>
        <w:t xml:space="preserve">Technologies of Material Culture.” </w:t>
      </w:r>
      <w:r>
        <w:rPr>
          <w:i/>
        </w:rPr>
        <w:t>Early Modern Women</w:t>
      </w:r>
      <w:r>
        <w:t xml:space="preserve"> 5 (October 1, 2010): 201–8. https://www.jstor.org/stable/23541509.</w:t>
      </w:r>
    </w:p>
    <w:p w14:paraId="0000003D" w14:textId="77777777" w:rsidR="00DD44A3" w:rsidRDefault="00DD44A3">
      <w:pPr>
        <w:ind w:left="720"/>
      </w:pPr>
    </w:p>
    <w:p w14:paraId="0000003E" w14:textId="77777777" w:rsidR="00DD44A3" w:rsidRDefault="00E7744B">
      <w:proofErr w:type="spellStart"/>
      <w:r>
        <w:t>Poitevin</w:t>
      </w:r>
      <w:proofErr w:type="spellEnd"/>
      <w:r>
        <w:t>, Kimberly. “Inventing Whiteness: Cosmetics, Race, and Women in Early Modern</w:t>
      </w:r>
    </w:p>
    <w:p w14:paraId="0000003F" w14:textId="77777777" w:rsidR="00DD44A3" w:rsidRDefault="00E7744B">
      <w:pPr>
        <w:ind w:left="720"/>
      </w:pPr>
      <w:r>
        <w:t xml:space="preserve">England.” </w:t>
      </w:r>
      <w:r>
        <w:rPr>
          <w:i/>
        </w:rPr>
        <w:t>Journal for</w:t>
      </w:r>
      <w:r>
        <w:rPr>
          <w:i/>
        </w:rPr>
        <w:t xml:space="preserve"> Early Modern Cultural Studies</w:t>
      </w:r>
      <w:r>
        <w:t xml:space="preserve"> 11, no. 1 (April 1, 2011): 59–89. https://www.jstor.org/stable/23242188.</w:t>
      </w:r>
    </w:p>
    <w:p w14:paraId="00000040" w14:textId="77777777" w:rsidR="00DD44A3" w:rsidRDefault="00DD44A3">
      <w:pPr>
        <w:ind w:left="720"/>
      </w:pPr>
    </w:p>
    <w:p w14:paraId="00000041" w14:textId="77777777" w:rsidR="00DD44A3" w:rsidRDefault="00E7744B">
      <w:pPr>
        <w:rPr>
          <w:i/>
        </w:rPr>
      </w:pPr>
      <w:proofErr w:type="spellStart"/>
      <w:r>
        <w:t>Riello</w:t>
      </w:r>
      <w:proofErr w:type="spellEnd"/>
      <w:r>
        <w:t xml:space="preserve">, Giorgio and </w:t>
      </w:r>
      <w:proofErr w:type="spellStart"/>
      <w:r>
        <w:t>Ulinka</w:t>
      </w:r>
      <w:proofErr w:type="spellEnd"/>
      <w:r>
        <w:t xml:space="preserve"> </w:t>
      </w:r>
      <w:proofErr w:type="spellStart"/>
      <w:r>
        <w:t>Rublack</w:t>
      </w:r>
      <w:proofErr w:type="spellEnd"/>
      <w:r>
        <w:t>.</w:t>
      </w:r>
      <w:r>
        <w:rPr>
          <w:i/>
        </w:rPr>
        <w:t xml:space="preserve"> The Right to </w:t>
      </w:r>
      <w:proofErr w:type="gramStart"/>
      <w:r>
        <w:rPr>
          <w:i/>
        </w:rPr>
        <w:t>Dress :</w:t>
      </w:r>
      <w:proofErr w:type="gramEnd"/>
      <w:r>
        <w:rPr>
          <w:i/>
        </w:rPr>
        <w:t xml:space="preserve"> Sumptuary Laws in a Global</w:t>
      </w:r>
    </w:p>
    <w:p w14:paraId="00000042" w14:textId="77777777" w:rsidR="00DD44A3" w:rsidRDefault="00E7744B">
      <w:pPr>
        <w:ind w:firstLine="720"/>
        <w:rPr>
          <w:sz w:val="24"/>
          <w:szCs w:val="24"/>
        </w:rPr>
      </w:pPr>
      <w:r>
        <w:rPr>
          <w:i/>
        </w:rPr>
        <w:t>Perspective</w:t>
      </w:r>
      <w:r>
        <w:t xml:space="preserve">, c. 1200-1800. Cambridge: Cambridge University Press, 2019. </w:t>
      </w:r>
    </w:p>
    <w:p w14:paraId="00000043" w14:textId="77777777" w:rsidR="00DD44A3" w:rsidRDefault="00DD44A3">
      <w:pPr>
        <w:ind w:left="720"/>
      </w:pPr>
    </w:p>
    <w:p w14:paraId="00000044" w14:textId="77777777" w:rsidR="00DD44A3" w:rsidRDefault="00E7744B">
      <w:pPr>
        <w:rPr>
          <w:i/>
        </w:rPr>
      </w:pPr>
      <w:r>
        <w:t xml:space="preserve">Scott, Joan W. “Gender: A Useful Category of Historical Analysis.” </w:t>
      </w:r>
      <w:r>
        <w:rPr>
          <w:i/>
        </w:rPr>
        <w:t>The American Historical</w:t>
      </w:r>
    </w:p>
    <w:p w14:paraId="00000045" w14:textId="77777777" w:rsidR="00DD44A3" w:rsidRDefault="00E7744B">
      <w:pPr>
        <w:ind w:left="720"/>
      </w:pPr>
      <w:r>
        <w:rPr>
          <w:i/>
        </w:rPr>
        <w:t xml:space="preserve">Review </w:t>
      </w:r>
      <w:r>
        <w:t>91, no. 5 (December 1, 1986): 1053–75. doi:10.2307/1864376.</w:t>
      </w:r>
    </w:p>
    <w:p w14:paraId="00000046" w14:textId="77777777" w:rsidR="00DD44A3" w:rsidRDefault="00DD44A3">
      <w:pPr>
        <w:ind w:left="720"/>
      </w:pPr>
    </w:p>
    <w:p w14:paraId="00000047" w14:textId="77777777" w:rsidR="00DD44A3" w:rsidRDefault="00E7744B">
      <w:pPr>
        <w:rPr>
          <w:i/>
        </w:rPr>
      </w:pPr>
      <w:r>
        <w:t>Shoemaker, Robert Brink.</w:t>
      </w:r>
      <w:r>
        <w:rPr>
          <w:i/>
        </w:rPr>
        <w:t xml:space="preserve"> Gender in</w:t>
      </w:r>
      <w:r>
        <w:rPr>
          <w:i/>
        </w:rPr>
        <w:t xml:space="preserve"> English Society, 1650-</w:t>
      </w:r>
      <w:proofErr w:type="gramStart"/>
      <w:r>
        <w:rPr>
          <w:i/>
        </w:rPr>
        <w:t>1850 :</w:t>
      </w:r>
      <w:proofErr w:type="gramEnd"/>
      <w:r>
        <w:rPr>
          <w:i/>
        </w:rPr>
        <w:t xml:space="preserve"> The Emergence of Separate</w:t>
      </w:r>
    </w:p>
    <w:p w14:paraId="00000048" w14:textId="77777777" w:rsidR="00DD44A3" w:rsidRDefault="00E7744B">
      <w:pPr>
        <w:ind w:firstLine="720"/>
      </w:pPr>
      <w:r>
        <w:rPr>
          <w:i/>
        </w:rPr>
        <w:t>Spheres</w:t>
      </w:r>
      <w:r>
        <w:t xml:space="preserve">. Themes in British Social History. Longman, 1998. </w:t>
      </w:r>
    </w:p>
    <w:p w14:paraId="00000049" w14:textId="77777777" w:rsidR="00DD44A3" w:rsidRDefault="00DD44A3">
      <w:pPr>
        <w:ind w:firstLine="720"/>
      </w:pPr>
    </w:p>
    <w:p w14:paraId="0000004A" w14:textId="77777777" w:rsidR="00DD44A3" w:rsidRDefault="00E7744B">
      <w:pPr>
        <w:rPr>
          <w:i/>
        </w:rPr>
      </w:pPr>
      <w:proofErr w:type="spellStart"/>
      <w:r>
        <w:t>Tassie</w:t>
      </w:r>
      <w:proofErr w:type="spellEnd"/>
      <w:r>
        <w:t xml:space="preserve">, </w:t>
      </w:r>
      <w:proofErr w:type="spellStart"/>
      <w:r>
        <w:t>Gwilliam</w:t>
      </w:r>
      <w:proofErr w:type="spellEnd"/>
      <w:r>
        <w:t xml:space="preserve">. “Female Fraud: Counterfeit Maidenheads in the Eighteenth Century.” </w:t>
      </w:r>
      <w:r>
        <w:rPr>
          <w:i/>
        </w:rPr>
        <w:t>Journal</w:t>
      </w:r>
    </w:p>
    <w:p w14:paraId="0000004B" w14:textId="77777777" w:rsidR="00DD44A3" w:rsidRDefault="00E7744B">
      <w:pPr>
        <w:ind w:left="720"/>
      </w:pPr>
      <w:r>
        <w:rPr>
          <w:i/>
        </w:rPr>
        <w:t>of the History of Sexuality</w:t>
      </w:r>
      <w:r>
        <w:t xml:space="preserve"> 6, no. 4 (April 1, </w:t>
      </w:r>
      <w:r>
        <w:t xml:space="preserve">1996): 518–48. https://www.jstor.org/stable/4617220. </w:t>
      </w:r>
    </w:p>
    <w:p w14:paraId="0000004C" w14:textId="77777777" w:rsidR="00DD44A3" w:rsidRDefault="00DD44A3">
      <w:pPr>
        <w:ind w:firstLine="720"/>
      </w:pPr>
    </w:p>
    <w:p w14:paraId="0000004D" w14:textId="77777777" w:rsidR="00DD44A3" w:rsidRDefault="00DD44A3"/>
    <w:p w14:paraId="0000004E" w14:textId="77777777" w:rsidR="00DD44A3" w:rsidRDefault="00DD44A3"/>
    <w:sectPr w:rsidR="00DD44A3">
      <w:footerReference w:type="default" r:id="rId6"/>
      <w:footerReference w:type="first" r:id="rId7"/>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02FB3" w14:textId="77777777" w:rsidR="00E7744B" w:rsidRDefault="00E7744B">
      <w:pPr>
        <w:spacing w:line="240" w:lineRule="auto"/>
      </w:pPr>
      <w:r>
        <w:separator/>
      </w:r>
    </w:p>
  </w:endnote>
  <w:endnote w:type="continuationSeparator" w:id="0">
    <w:p w14:paraId="30482576" w14:textId="77777777" w:rsidR="00E7744B" w:rsidRDefault="00E774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8" w14:textId="1E7DB481" w:rsidR="00DD44A3" w:rsidRDefault="00E7744B">
    <w:pPr>
      <w:jc w:val="right"/>
    </w:pPr>
    <w:r>
      <w:fldChar w:fldCharType="begin"/>
    </w:r>
    <w:r>
      <w:instrText>PAGE</w:instrText>
    </w:r>
    <w:r>
      <w:fldChar w:fldCharType="separate"/>
    </w:r>
    <w:r w:rsidR="001C1A3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7" w14:textId="77777777" w:rsidR="00DD44A3" w:rsidRDefault="00DD44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E359E" w14:textId="77777777" w:rsidR="00E7744B" w:rsidRDefault="00E7744B">
      <w:pPr>
        <w:spacing w:line="240" w:lineRule="auto"/>
      </w:pPr>
      <w:r>
        <w:separator/>
      </w:r>
    </w:p>
  </w:footnote>
  <w:footnote w:type="continuationSeparator" w:id="0">
    <w:p w14:paraId="4E1EB7B2" w14:textId="77777777" w:rsidR="00E7744B" w:rsidRDefault="00E7744B">
      <w:pPr>
        <w:spacing w:line="240" w:lineRule="auto"/>
      </w:pPr>
      <w:r>
        <w:continuationSeparator/>
      </w:r>
    </w:p>
  </w:footnote>
  <w:footnote w:id="1">
    <w:p w14:paraId="0000007C" w14:textId="77777777" w:rsidR="00DD44A3" w:rsidRDefault="00E7744B">
      <w:pPr>
        <w:spacing w:line="240" w:lineRule="auto"/>
        <w:rPr>
          <w:sz w:val="20"/>
          <w:szCs w:val="20"/>
        </w:rPr>
      </w:pPr>
      <w:r>
        <w:rPr>
          <w:vertAlign w:val="superscript"/>
        </w:rPr>
        <w:footnoteRef/>
      </w:r>
      <w:r>
        <w:rPr>
          <w:sz w:val="20"/>
          <w:szCs w:val="20"/>
        </w:rPr>
        <w:t xml:space="preserve"> Beverly Lemire, “The Secondhand Clothing Trade in Europe and beyond: Stages of Development and Enterprise in a Changing Material World, C. 1600-1850,” </w:t>
      </w:r>
      <w:r>
        <w:rPr>
          <w:i/>
          <w:sz w:val="20"/>
          <w:szCs w:val="20"/>
        </w:rPr>
        <w:t>Textile: The Journal of Cloth and Culture</w:t>
      </w:r>
      <w:r>
        <w:rPr>
          <w:sz w:val="20"/>
          <w:szCs w:val="20"/>
        </w:rPr>
        <w:t xml:space="preserve"> 10, no. 2: 147.</w:t>
      </w:r>
    </w:p>
  </w:footnote>
  <w:footnote w:id="2">
    <w:p w14:paraId="0000007D" w14:textId="77777777" w:rsidR="00DD44A3" w:rsidRDefault="00E7744B">
      <w:pPr>
        <w:spacing w:line="240" w:lineRule="auto"/>
        <w:rPr>
          <w:sz w:val="20"/>
          <w:szCs w:val="20"/>
        </w:rPr>
      </w:pPr>
      <w:r>
        <w:rPr>
          <w:vertAlign w:val="superscript"/>
        </w:rPr>
        <w:footnoteRef/>
      </w:r>
      <w:r>
        <w:rPr>
          <w:sz w:val="20"/>
          <w:szCs w:val="20"/>
        </w:rPr>
        <w:t xml:space="preserve"> Lemire, “Secondhand Clothing Trade,” 147.</w:t>
      </w:r>
    </w:p>
  </w:footnote>
  <w:footnote w:id="3">
    <w:p w14:paraId="00000079" w14:textId="77777777" w:rsidR="00DD44A3" w:rsidRDefault="00E7744B">
      <w:pPr>
        <w:spacing w:line="240" w:lineRule="auto"/>
        <w:rPr>
          <w:sz w:val="20"/>
          <w:szCs w:val="20"/>
        </w:rPr>
      </w:pPr>
      <w:r>
        <w:rPr>
          <w:vertAlign w:val="superscript"/>
        </w:rPr>
        <w:footnoteRef/>
      </w:r>
      <w:r>
        <w:rPr>
          <w:sz w:val="20"/>
          <w:szCs w:val="20"/>
        </w:rPr>
        <w:t xml:space="preserve"> Ann R. Jones, and Peter Stallybrass, </w:t>
      </w:r>
      <w:r>
        <w:rPr>
          <w:i/>
          <w:sz w:val="20"/>
          <w:szCs w:val="20"/>
        </w:rPr>
        <w:t>Renaissance Clothing and the Material</w:t>
      </w:r>
      <w:r>
        <w:rPr>
          <w:i/>
          <w:sz w:val="20"/>
          <w:szCs w:val="20"/>
        </w:rPr>
        <w:t>s of Memory</w:t>
      </w:r>
      <w:r>
        <w:rPr>
          <w:sz w:val="20"/>
          <w:szCs w:val="20"/>
        </w:rPr>
        <w:t>, (Cambridge: Cambridge University Press, 2000), 4.</w:t>
      </w:r>
    </w:p>
  </w:footnote>
  <w:footnote w:id="4">
    <w:p w14:paraId="0000007A" w14:textId="77777777" w:rsidR="00DD44A3" w:rsidRDefault="00E7744B">
      <w:pPr>
        <w:spacing w:line="240" w:lineRule="auto"/>
        <w:rPr>
          <w:sz w:val="20"/>
          <w:szCs w:val="20"/>
        </w:rPr>
      </w:pPr>
      <w:r>
        <w:rPr>
          <w:vertAlign w:val="superscript"/>
        </w:rPr>
        <w:footnoteRef/>
      </w:r>
      <w:r>
        <w:rPr>
          <w:sz w:val="20"/>
          <w:szCs w:val="20"/>
        </w:rPr>
        <w:t xml:space="preserve"> Jones and Stallybrass, </w:t>
      </w:r>
      <w:r>
        <w:rPr>
          <w:i/>
          <w:sz w:val="20"/>
          <w:szCs w:val="20"/>
        </w:rPr>
        <w:t>Materials of Memory,</w:t>
      </w:r>
      <w:r>
        <w:rPr>
          <w:sz w:val="20"/>
          <w:szCs w:val="20"/>
        </w:rPr>
        <w:t xml:space="preserve"> 2.</w:t>
      </w:r>
    </w:p>
  </w:footnote>
  <w:footnote w:id="5">
    <w:p w14:paraId="0000007B" w14:textId="77777777" w:rsidR="00DD44A3" w:rsidRDefault="00E7744B">
      <w:pPr>
        <w:spacing w:line="240" w:lineRule="auto"/>
        <w:rPr>
          <w:sz w:val="20"/>
          <w:szCs w:val="20"/>
        </w:rPr>
      </w:pPr>
      <w:r>
        <w:rPr>
          <w:vertAlign w:val="superscript"/>
        </w:rPr>
        <w:footnoteRef/>
      </w:r>
      <w:r>
        <w:rPr>
          <w:sz w:val="20"/>
          <w:szCs w:val="20"/>
        </w:rPr>
        <w:t xml:space="preserve"> Victoria Barahona López, Dressing the Poor: The Provision of Clothing among the Lower Classes in Eighteenth-Century Madrid,” </w:t>
      </w:r>
      <w:r>
        <w:rPr>
          <w:i/>
          <w:sz w:val="20"/>
          <w:szCs w:val="20"/>
        </w:rPr>
        <w:t>Textile History</w:t>
      </w:r>
      <w:r>
        <w:rPr>
          <w:sz w:val="20"/>
          <w:szCs w:val="20"/>
        </w:rPr>
        <w:t xml:space="preserve"> 4</w:t>
      </w:r>
      <w:r>
        <w:rPr>
          <w:sz w:val="20"/>
          <w:szCs w:val="20"/>
        </w:rPr>
        <w:t>3, no. 1 (May 2012): 24.</w:t>
      </w:r>
    </w:p>
  </w:footnote>
  <w:footnote w:id="6">
    <w:p w14:paraId="00000098" w14:textId="77777777" w:rsidR="00DD44A3" w:rsidRDefault="00E7744B">
      <w:pPr>
        <w:spacing w:line="240" w:lineRule="auto"/>
        <w:rPr>
          <w:sz w:val="20"/>
          <w:szCs w:val="20"/>
        </w:rPr>
      </w:pPr>
      <w:r>
        <w:rPr>
          <w:vertAlign w:val="superscript"/>
        </w:rPr>
        <w:footnoteRef/>
      </w:r>
      <w:r>
        <w:rPr>
          <w:sz w:val="20"/>
          <w:szCs w:val="20"/>
        </w:rPr>
        <w:t xml:space="preserve"> Sarah A. Bendall, “To Write a Distick upon It: Busks and the Language of Courtship and Sexual Desire in Sixteenth- and Seventeenth-Century England,” </w:t>
      </w:r>
      <w:r>
        <w:rPr>
          <w:i/>
          <w:sz w:val="20"/>
          <w:szCs w:val="20"/>
        </w:rPr>
        <w:t>Gender and History</w:t>
      </w:r>
      <w:r>
        <w:rPr>
          <w:sz w:val="20"/>
          <w:szCs w:val="20"/>
        </w:rPr>
        <w:t xml:space="preserve"> 26, no. 2: 207, doi:10.1111/1468-0424.12066.</w:t>
      </w:r>
    </w:p>
  </w:footnote>
  <w:footnote w:id="7">
    <w:p w14:paraId="00000094" w14:textId="77777777" w:rsidR="00DD44A3" w:rsidRDefault="00E7744B">
      <w:pPr>
        <w:spacing w:line="240" w:lineRule="auto"/>
        <w:rPr>
          <w:sz w:val="20"/>
          <w:szCs w:val="20"/>
        </w:rPr>
      </w:pPr>
      <w:r>
        <w:rPr>
          <w:vertAlign w:val="superscript"/>
        </w:rPr>
        <w:footnoteRef/>
      </w:r>
      <w:r>
        <w:rPr>
          <w:sz w:val="20"/>
          <w:szCs w:val="20"/>
        </w:rPr>
        <w:t xml:space="preserve"> Mark Breitenberg, </w:t>
      </w:r>
      <w:r>
        <w:rPr>
          <w:i/>
          <w:sz w:val="20"/>
          <w:szCs w:val="20"/>
        </w:rPr>
        <w:t>Anxious Masculinity in Early Modern England,</w:t>
      </w:r>
      <w:r>
        <w:rPr>
          <w:sz w:val="20"/>
          <w:szCs w:val="20"/>
        </w:rPr>
        <w:t xml:space="preserve"> (Cambridge: Cambridge University Press, 1996), 2, https://doi-org.login.ezproxy.library.ualberta.ca/10.1017/CBO9780511586231.</w:t>
      </w:r>
    </w:p>
  </w:footnote>
  <w:footnote w:id="8">
    <w:p w14:paraId="000000A1" w14:textId="77777777" w:rsidR="00DD44A3" w:rsidRDefault="00E7744B">
      <w:pPr>
        <w:spacing w:line="240" w:lineRule="auto"/>
        <w:rPr>
          <w:sz w:val="20"/>
          <w:szCs w:val="20"/>
        </w:rPr>
      </w:pPr>
      <w:r>
        <w:rPr>
          <w:vertAlign w:val="superscript"/>
        </w:rPr>
        <w:footnoteRef/>
      </w:r>
      <w:r>
        <w:rPr>
          <w:sz w:val="20"/>
          <w:szCs w:val="20"/>
        </w:rPr>
        <w:t xml:space="preserve"> Breitenberg, </w:t>
      </w:r>
      <w:r>
        <w:rPr>
          <w:i/>
          <w:sz w:val="20"/>
          <w:szCs w:val="20"/>
        </w:rPr>
        <w:t>Anxious Masculinity</w:t>
      </w:r>
      <w:r>
        <w:rPr>
          <w:sz w:val="20"/>
          <w:szCs w:val="20"/>
        </w:rPr>
        <w:t>, 2.</w:t>
      </w:r>
    </w:p>
  </w:footnote>
  <w:footnote w:id="9">
    <w:p w14:paraId="000000A2" w14:textId="77777777" w:rsidR="00DD44A3" w:rsidRDefault="00E7744B">
      <w:pPr>
        <w:spacing w:line="240" w:lineRule="auto"/>
        <w:rPr>
          <w:sz w:val="20"/>
          <w:szCs w:val="20"/>
        </w:rPr>
      </w:pPr>
      <w:r>
        <w:rPr>
          <w:vertAlign w:val="superscript"/>
        </w:rPr>
        <w:footnoteRef/>
      </w:r>
      <w:r>
        <w:rPr>
          <w:sz w:val="20"/>
          <w:szCs w:val="20"/>
        </w:rPr>
        <w:t xml:space="preserve"> Breitenberg, </w:t>
      </w:r>
      <w:r>
        <w:rPr>
          <w:i/>
          <w:sz w:val="20"/>
          <w:szCs w:val="20"/>
        </w:rPr>
        <w:t>Anxious Masculinity</w:t>
      </w:r>
      <w:r>
        <w:rPr>
          <w:sz w:val="20"/>
          <w:szCs w:val="20"/>
        </w:rPr>
        <w:t>, 2.</w:t>
      </w:r>
    </w:p>
  </w:footnote>
  <w:footnote w:id="10">
    <w:p w14:paraId="00000099" w14:textId="77777777" w:rsidR="00DD44A3" w:rsidRDefault="00E7744B">
      <w:pPr>
        <w:spacing w:line="240" w:lineRule="auto"/>
        <w:rPr>
          <w:sz w:val="20"/>
          <w:szCs w:val="20"/>
        </w:rPr>
      </w:pPr>
      <w:r>
        <w:rPr>
          <w:vertAlign w:val="superscript"/>
        </w:rPr>
        <w:footnoteRef/>
      </w:r>
      <w:r>
        <w:rPr>
          <w:sz w:val="20"/>
          <w:szCs w:val="20"/>
        </w:rPr>
        <w:t xml:space="preserve"> Jones and Stallybrass, </w:t>
      </w:r>
      <w:r>
        <w:rPr>
          <w:i/>
          <w:sz w:val="20"/>
          <w:szCs w:val="20"/>
        </w:rPr>
        <w:t>Materials of Memory,</w:t>
      </w:r>
      <w:r>
        <w:rPr>
          <w:sz w:val="20"/>
          <w:szCs w:val="20"/>
        </w:rPr>
        <w:t xml:space="preserve"> 2.</w:t>
      </w:r>
    </w:p>
  </w:footnote>
  <w:footnote w:id="11">
    <w:p w14:paraId="0000004F" w14:textId="77777777" w:rsidR="00DD44A3" w:rsidRDefault="00E7744B">
      <w:pPr>
        <w:spacing w:line="240" w:lineRule="auto"/>
        <w:rPr>
          <w:sz w:val="20"/>
          <w:szCs w:val="20"/>
        </w:rPr>
      </w:pPr>
      <w:r>
        <w:rPr>
          <w:vertAlign w:val="superscript"/>
        </w:rPr>
        <w:footnoteRef/>
      </w:r>
      <w:r>
        <w:rPr>
          <w:sz w:val="20"/>
          <w:szCs w:val="20"/>
        </w:rPr>
        <w:t xml:space="preserve"> Bendall, “To Write a Distick upon It,” 200; Sarah A Bendall </w:t>
      </w:r>
      <w:r>
        <w:rPr>
          <w:i/>
          <w:sz w:val="20"/>
          <w:szCs w:val="20"/>
        </w:rPr>
        <w:t>Shaping Femininity: Foundation Garments, the Body and Women in Early Modern England</w:t>
      </w:r>
      <w:r>
        <w:rPr>
          <w:sz w:val="20"/>
          <w:szCs w:val="20"/>
        </w:rPr>
        <w:t>, (London, Ava Academia): 32, DOI: 10.5040/9781350164147.</w:t>
      </w:r>
    </w:p>
  </w:footnote>
  <w:footnote w:id="12">
    <w:p w14:paraId="00000050" w14:textId="77777777" w:rsidR="00DD44A3" w:rsidRDefault="00E7744B">
      <w:pPr>
        <w:spacing w:line="240" w:lineRule="auto"/>
        <w:rPr>
          <w:sz w:val="20"/>
          <w:szCs w:val="20"/>
        </w:rPr>
      </w:pPr>
      <w:r>
        <w:rPr>
          <w:vertAlign w:val="superscript"/>
        </w:rPr>
        <w:footnoteRef/>
      </w:r>
      <w:r>
        <w:rPr>
          <w:sz w:val="20"/>
          <w:szCs w:val="20"/>
        </w:rPr>
        <w:t xml:space="preserve"> Sandy Feinstein, “Donne’s ‘Elegy 19’: The Busk between a Pair of Bodies,”</w:t>
      </w:r>
      <w:r>
        <w:rPr>
          <w:i/>
          <w:sz w:val="20"/>
          <w:szCs w:val="20"/>
        </w:rPr>
        <w:t xml:space="preserve"> Studies in English Literature, 1500-190</w:t>
      </w:r>
      <w:r>
        <w:rPr>
          <w:i/>
          <w:sz w:val="20"/>
          <w:szCs w:val="20"/>
        </w:rPr>
        <w:t>0</w:t>
      </w:r>
      <w:r>
        <w:rPr>
          <w:sz w:val="20"/>
          <w:szCs w:val="20"/>
        </w:rPr>
        <w:t xml:space="preserve"> 34, no. 1 (January 1, 1994): 62, https://login.ezproxy.library.ualberta.ca/login?url=https://www.proquest.com/scholarly-journals/donnes-elegy-19-busk-between-pair-bodies/docview/1297396042/se-2?accountid=14474.</w:t>
      </w:r>
    </w:p>
  </w:footnote>
  <w:footnote w:id="13">
    <w:p w14:paraId="00000051" w14:textId="77777777" w:rsidR="00DD44A3" w:rsidRDefault="00E7744B">
      <w:pPr>
        <w:spacing w:line="240" w:lineRule="auto"/>
        <w:rPr>
          <w:sz w:val="20"/>
          <w:szCs w:val="20"/>
        </w:rPr>
      </w:pPr>
      <w:r>
        <w:rPr>
          <w:vertAlign w:val="superscript"/>
        </w:rPr>
        <w:footnoteRef/>
      </w:r>
      <w:r>
        <w:rPr>
          <w:sz w:val="20"/>
          <w:szCs w:val="20"/>
        </w:rPr>
        <w:t xml:space="preserve">  Bendall, </w:t>
      </w:r>
      <w:r>
        <w:rPr>
          <w:i/>
          <w:sz w:val="20"/>
          <w:szCs w:val="20"/>
        </w:rPr>
        <w:t>Shaping Femininity,</w:t>
      </w:r>
      <w:r>
        <w:rPr>
          <w:sz w:val="20"/>
          <w:szCs w:val="20"/>
        </w:rPr>
        <w:t xml:space="preserve"> 32.</w:t>
      </w:r>
    </w:p>
  </w:footnote>
  <w:footnote w:id="14">
    <w:p w14:paraId="00000052" w14:textId="77777777" w:rsidR="00DD44A3" w:rsidRDefault="00E7744B">
      <w:pPr>
        <w:spacing w:line="240" w:lineRule="auto"/>
        <w:rPr>
          <w:sz w:val="20"/>
          <w:szCs w:val="20"/>
        </w:rPr>
      </w:pPr>
      <w:r>
        <w:rPr>
          <w:vertAlign w:val="superscript"/>
        </w:rPr>
        <w:footnoteRef/>
      </w:r>
      <w:r>
        <w:rPr>
          <w:sz w:val="20"/>
          <w:szCs w:val="20"/>
        </w:rPr>
        <w:t xml:space="preserve">  Bend</w:t>
      </w:r>
      <w:r>
        <w:rPr>
          <w:sz w:val="20"/>
          <w:szCs w:val="20"/>
        </w:rPr>
        <w:t>all, “To Write a Distick,” 199-200.</w:t>
      </w:r>
    </w:p>
  </w:footnote>
  <w:footnote w:id="15">
    <w:p w14:paraId="00000053" w14:textId="77777777" w:rsidR="00DD44A3" w:rsidRDefault="00E7744B">
      <w:pPr>
        <w:spacing w:line="240" w:lineRule="auto"/>
        <w:rPr>
          <w:sz w:val="20"/>
          <w:szCs w:val="20"/>
        </w:rPr>
      </w:pPr>
      <w:r>
        <w:rPr>
          <w:vertAlign w:val="superscript"/>
        </w:rPr>
        <w:footnoteRef/>
      </w:r>
      <w:r>
        <w:rPr>
          <w:sz w:val="20"/>
          <w:szCs w:val="20"/>
        </w:rPr>
        <w:t xml:space="preserve"> Bendall </w:t>
      </w:r>
      <w:r>
        <w:rPr>
          <w:i/>
          <w:sz w:val="20"/>
          <w:szCs w:val="20"/>
        </w:rPr>
        <w:t xml:space="preserve">Shaping Femininity, </w:t>
      </w:r>
      <w:r>
        <w:rPr>
          <w:sz w:val="20"/>
          <w:szCs w:val="20"/>
        </w:rPr>
        <w:t>32.</w:t>
      </w:r>
    </w:p>
  </w:footnote>
  <w:footnote w:id="16">
    <w:p w14:paraId="00000054" w14:textId="77777777" w:rsidR="00DD44A3" w:rsidRDefault="00E7744B">
      <w:pPr>
        <w:spacing w:line="240" w:lineRule="auto"/>
        <w:rPr>
          <w:sz w:val="20"/>
          <w:szCs w:val="20"/>
        </w:rPr>
      </w:pPr>
      <w:r>
        <w:rPr>
          <w:vertAlign w:val="superscript"/>
        </w:rPr>
        <w:footnoteRef/>
      </w:r>
      <w:r>
        <w:rPr>
          <w:sz w:val="20"/>
          <w:szCs w:val="20"/>
        </w:rPr>
        <w:t xml:space="preserve"> A.R. Jones and P. Stallybrass, “</w:t>
      </w:r>
      <w:r>
        <w:rPr>
          <w:i/>
          <w:sz w:val="20"/>
          <w:szCs w:val="20"/>
        </w:rPr>
        <w:t xml:space="preserve"> </w:t>
      </w:r>
      <w:r>
        <w:rPr>
          <w:sz w:val="20"/>
          <w:szCs w:val="20"/>
        </w:rPr>
        <w:t>Of Busks and Bodies,</w:t>
      </w:r>
      <w:r>
        <w:rPr>
          <w:i/>
          <w:sz w:val="20"/>
          <w:szCs w:val="20"/>
        </w:rPr>
        <w:t xml:space="preserve">” </w:t>
      </w:r>
      <w:r>
        <w:rPr>
          <w:sz w:val="20"/>
          <w:szCs w:val="20"/>
        </w:rPr>
        <w:t xml:space="preserve">in </w:t>
      </w:r>
      <w:r>
        <w:rPr>
          <w:i/>
          <w:sz w:val="20"/>
          <w:szCs w:val="20"/>
        </w:rPr>
        <w:t xml:space="preserve">The forms of Renaissance thought: New essays in literature and culture </w:t>
      </w:r>
      <w:r>
        <w:rPr>
          <w:sz w:val="20"/>
          <w:szCs w:val="20"/>
        </w:rPr>
        <w:t>(London: Palgrave Macmillan, 2008), 263 doi:10.1057/978</w:t>
      </w:r>
      <w:r>
        <w:rPr>
          <w:sz w:val="20"/>
          <w:szCs w:val="20"/>
        </w:rPr>
        <w:t>0230228443.</w:t>
      </w:r>
    </w:p>
  </w:footnote>
  <w:footnote w:id="17">
    <w:p w14:paraId="00000081" w14:textId="77777777" w:rsidR="00DD44A3" w:rsidRDefault="00E7744B">
      <w:pPr>
        <w:spacing w:line="240" w:lineRule="auto"/>
        <w:rPr>
          <w:sz w:val="20"/>
          <w:szCs w:val="20"/>
        </w:rPr>
      </w:pPr>
      <w:r>
        <w:rPr>
          <w:vertAlign w:val="superscript"/>
        </w:rPr>
        <w:footnoteRef/>
      </w:r>
      <w:r>
        <w:rPr>
          <w:sz w:val="20"/>
          <w:szCs w:val="20"/>
        </w:rPr>
        <w:t xml:space="preserve"> Marianna Muravyeva, and Raisa Maria Toivo,</w:t>
      </w:r>
      <w:r>
        <w:rPr>
          <w:i/>
          <w:sz w:val="20"/>
          <w:szCs w:val="20"/>
        </w:rPr>
        <w:t xml:space="preserve"> Gender in Late Medieval and Early Modern Europe</w:t>
      </w:r>
      <w:r>
        <w:rPr>
          <w:sz w:val="20"/>
          <w:szCs w:val="20"/>
        </w:rPr>
        <w:t>. (Routledge Research in Gender and History: Routledge, 2013): 107, https://search-ebscohost-com.login.ezproxy.library.ualberta.ca/login.aspx?direct=true&amp;db=cat03710a&amp;AN=alb.8788363&amp;site=eds-live&amp;scope=site; Bendall “To Write a Distick,” 199.</w:t>
      </w:r>
    </w:p>
  </w:footnote>
  <w:footnote w:id="18">
    <w:p w14:paraId="00000080" w14:textId="77777777" w:rsidR="00DD44A3" w:rsidRDefault="00E7744B">
      <w:pPr>
        <w:spacing w:line="240" w:lineRule="auto"/>
        <w:rPr>
          <w:sz w:val="20"/>
          <w:szCs w:val="20"/>
        </w:rPr>
      </w:pPr>
      <w:r>
        <w:rPr>
          <w:vertAlign w:val="superscript"/>
        </w:rPr>
        <w:footnoteRef/>
      </w:r>
      <w:r>
        <w:rPr>
          <w:sz w:val="20"/>
          <w:szCs w:val="20"/>
        </w:rPr>
        <w:t xml:space="preserve"> Bendall, “To Write a Distick,” 199.</w:t>
      </w:r>
    </w:p>
  </w:footnote>
  <w:footnote w:id="19">
    <w:p w14:paraId="00000085" w14:textId="77777777" w:rsidR="00DD44A3" w:rsidRDefault="00E7744B">
      <w:pPr>
        <w:spacing w:line="240" w:lineRule="auto"/>
        <w:rPr>
          <w:sz w:val="20"/>
          <w:szCs w:val="20"/>
        </w:rPr>
      </w:pPr>
      <w:r>
        <w:rPr>
          <w:vertAlign w:val="superscript"/>
        </w:rPr>
        <w:footnoteRef/>
      </w:r>
      <w:r>
        <w:rPr>
          <w:sz w:val="20"/>
          <w:szCs w:val="20"/>
        </w:rPr>
        <w:t xml:space="preserve"> Bendall, “To Write a Distick,” 199.</w:t>
      </w:r>
    </w:p>
  </w:footnote>
  <w:footnote w:id="20">
    <w:p w14:paraId="00000086" w14:textId="77777777" w:rsidR="00DD44A3" w:rsidRDefault="00E7744B">
      <w:pPr>
        <w:spacing w:line="240" w:lineRule="auto"/>
        <w:rPr>
          <w:sz w:val="20"/>
          <w:szCs w:val="20"/>
        </w:rPr>
      </w:pPr>
      <w:r>
        <w:rPr>
          <w:vertAlign w:val="superscript"/>
        </w:rPr>
        <w:footnoteRef/>
      </w:r>
      <w:r>
        <w:rPr>
          <w:sz w:val="20"/>
          <w:szCs w:val="20"/>
        </w:rPr>
        <w:t xml:space="preserve"> Bendall, “To Write a Distick,” 207-208.</w:t>
      </w:r>
    </w:p>
  </w:footnote>
  <w:footnote w:id="21">
    <w:p w14:paraId="00000087" w14:textId="77777777" w:rsidR="00DD44A3" w:rsidRDefault="00E7744B">
      <w:pPr>
        <w:spacing w:line="240" w:lineRule="auto"/>
        <w:rPr>
          <w:sz w:val="20"/>
          <w:szCs w:val="20"/>
        </w:rPr>
      </w:pPr>
      <w:r>
        <w:rPr>
          <w:vertAlign w:val="superscript"/>
        </w:rPr>
        <w:footnoteRef/>
      </w:r>
      <w:r>
        <w:rPr>
          <w:sz w:val="20"/>
          <w:szCs w:val="20"/>
        </w:rPr>
        <w:t xml:space="preserve"> Jones and Stallybrass, “Of Busks and Bodies,” 267.</w:t>
      </w:r>
    </w:p>
  </w:footnote>
  <w:footnote w:id="22">
    <w:p w14:paraId="00000077" w14:textId="77777777" w:rsidR="00DD44A3" w:rsidRDefault="00E7744B">
      <w:pPr>
        <w:spacing w:line="240" w:lineRule="auto"/>
        <w:rPr>
          <w:sz w:val="20"/>
          <w:szCs w:val="20"/>
        </w:rPr>
      </w:pPr>
      <w:r>
        <w:rPr>
          <w:vertAlign w:val="superscript"/>
        </w:rPr>
        <w:footnoteRef/>
      </w:r>
      <w:r>
        <w:rPr>
          <w:sz w:val="20"/>
          <w:szCs w:val="20"/>
        </w:rPr>
        <w:t xml:space="preserve"> Leora Auslander, “Deploying Materi</w:t>
      </w:r>
      <w:r>
        <w:rPr>
          <w:sz w:val="20"/>
          <w:szCs w:val="20"/>
        </w:rPr>
        <w:t xml:space="preserve">al Culture to Write the History of Gender and Sexuality : The Example of Clothing and Textiles,” </w:t>
      </w:r>
      <w:r>
        <w:rPr>
          <w:i/>
          <w:sz w:val="20"/>
          <w:szCs w:val="20"/>
        </w:rPr>
        <w:t>Clio</w:t>
      </w:r>
      <w:r>
        <w:rPr>
          <w:sz w:val="20"/>
          <w:szCs w:val="20"/>
        </w:rPr>
        <w:t>, no. 40 (January 2014): 158.</w:t>
      </w:r>
    </w:p>
  </w:footnote>
  <w:footnote w:id="23">
    <w:p w14:paraId="0000009A" w14:textId="77777777" w:rsidR="00DD44A3" w:rsidRDefault="00E7744B">
      <w:pPr>
        <w:spacing w:line="240" w:lineRule="auto"/>
        <w:rPr>
          <w:sz w:val="20"/>
          <w:szCs w:val="20"/>
        </w:rPr>
      </w:pPr>
      <w:r>
        <w:rPr>
          <w:vertAlign w:val="superscript"/>
        </w:rPr>
        <w:footnoteRef/>
      </w:r>
      <w:r>
        <w:rPr>
          <w:sz w:val="20"/>
          <w:szCs w:val="20"/>
        </w:rPr>
        <w:t xml:space="preserve"> Jones and Stallybrass, “Of Busks and Bodies,” 262.</w:t>
      </w:r>
    </w:p>
  </w:footnote>
  <w:footnote w:id="24">
    <w:p w14:paraId="00000055" w14:textId="77777777" w:rsidR="00DD44A3" w:rsidRDefault="00E7744B">
      <w:pPr>
        <w:spacing w:line="240" w:lineRule="auto"/>
        <w:rPr>
          <w:sz w:val="20"/>
          <w:szCs w:val="20"/>
        </w:rPr>
      </w:pPr>
      <w:r>
        <w:rPr>
          <w:vertAlign w:val="superscript"/>
        </w:rPr>
        <w:footnoteRef/>
      </w:r>
      <w:r>
        <w:rPr>
          <w:sz w:val="20"/>
          <w:szCs w:val="20"/>
        </w:rPr>
        <w:t xml:space="preserve"> Robert Brink Shoemaker,</w:t>
      </w:r>
      <w:r>
        <w:rPr>
          <w:i/>
          <w:sz w:val="20"/>
          <w:szCs w:val="20"/>
        </w:rPr>
        <w:t xml:space="preserve"> Gender in English Society, 1650-1850 : The Emergence of Separate Spheres</w:t>
      </w:r>
      <w:r>
        <w:rPr>
          <w:sz w:val="20"/>
          <w:szCs w:val="20"/>
        </w:rPr>
        <w:t>. Themes in British Social History. (Longman, 1998): 61; Jones and Stallybrass, “Of Busks and Bodies,” 262.</w:t>
      </w:r>
    </w:p>
  </w:footnote>
  <w:footnote w:id="25">
    <w:p w14:paraId="00000082" w14:textId="77777777" w:rsidR="00DD44A3" w:rsidRDefault="00E7744B">
      <w:pPr>
        <w:spacing w:line="240" w:lineRule="auto"/>
        <w:rPr>
          <w:sz w:val="20"/>
          <w:szCs w:val="20"/>
        </w:rPr>
      </w:pPr>
      <w:r>
        <w:rPr>
          <w:vertAlign w:val="superscript"/>
        </w:rPr>
        <w:footnoteRef/>
      </w:r>
      <w:r>
        <w:rPr>
          <w:sz w:val="20"/>
          <w:szCs w:val="20"/>
        </w:rPr>
        <w:t xml:space="preserve"> Shoemaker,</w:t>
      </w:r>
      <w:r>
        <w:rPr>
          <w:i/>
          <w:sz w:val="20"/>
          <w:szCs w:val="20"/>
        </w:rPr>
        <w:t xml:space="preserve"> </w:t>
      </w:r>
      <w:r>
        <w:rPr>
          <w:i/>
          <w:sz w:val="20"/>
          <w:szCs w:val="20"/>
        </w:rPr>
        <w:t>Gender in English Society</w:t>
      </w:r>
      <w:r>
        <w:rPr>
          <w:sz w:val="20"/>
          <w:szCs w:val="20"/>
        </w:rPr>
        <w:t>, 61.</w:t>
      </w:r>
    </w:p>
  </w:footnote>
  <w:footnote w:id="26">
    <w:p w14:paraId="00000056" w14:textId="77777777" w:rsidR="00DD44A3" w:rsidRDefault="00E7744B">
      <w:pPr>
        <w:spacing w:line="240" w:lineRule="auto"/>
        <w:rPr>
          <w:sz w:val="20"/>
          <w:szCs w:val="20"/>
        </w:rPr>
      </w:pPr>
      <w:r>
        <w:rPr>
          <w:vertAlign w:val="superscript"/>
        </w:rPr>
        <w:footnoteRef/>
      </w:r>
      <w:r>
        <w:rPr>
          <w:sz w:val="20"/>
          <w:szCs w:val="20"/>
        </w:rPr>
        <w:t xml:space="preserve"> Shoemaker,</w:t>
      </w:r>
      <w:r>
        <w:rPr>
          <w:i/>
          <w:sz w:val="20"/>
          <w:szCs w:val="20"/>
        </w:rPr>
        <w:t xml:space="preserve"> Gender in English Society</w:t>
      </w:r>
      <w:r>
        <w:rPr>
          <w:sz w:val="20"/>
          <w:szCs w:val="20"/>
        </w:rPr>
        <w:t>, 62.</w:t>
      </w:r>
    </w:p>
  </w:footnote>
  <w:footnote w:id="27">
    <w:p w14:paraId="00000095" w14:textId="77777777" w:rsidR="00DD44A3" w:rsidRDefault="00E7744B">
      <w:pPr>
        <w:spacing w:line="240" w:lineRule="auto"/>
        <w:rPr>
          <w:sz w:val="20"/>
          <w:szCs w:val="20"/>
        </w:rPr>
      </w:pPr>
      <w:r>
        <w:rPr>
          <w:vertAlign w:val="superscript"/>
        </w:rPr>
        <w:footnoteRef/>
      </w:r>
      <w:r>
        <w:rPr>
          <w:sz w:val="20"/>
          <w:szCs w:val="20"/>
        </w:rPr>
        <w:t xml:space="preserve"> Bendall, “To Write a Distick,” 215.</w:t>
      </w:r>
    </w:p>
  </w:footnote>
  <w:footnote w:id="28">
    <w:p w14:paraId="00000057" w14:textId="77777777" w:rsidR="00DD44A3" w:rsidRDefault="00E7744B">
      <w:pPr>
        <w:spacing w:line="240" w:lineRule="auto"/>
        <w:rPr>
          <w:sz w:val="20"/>
          <w:szCs w:val="20"/>
        </w:rPr>
      </w:pPr>
      <w:r>
        <w:rPr>
          <w:vertAlign w:val="superscript"/>
        </w:rPr>
        <w:footnoteRef/>
      </w:r>
      <w:r>
        <w:rPr>
          <w:sz w:val="20"/>
          <w:szCs w:val="20"/>
        </w:rPr>
        <w:t xml:space="preserve"> Breitenberg, </w:t>
      </w:r>
      <w:r>
        <w:rPr>
          <w:i/>
          <w:sz w:val="20"/>
          <w:szCs w:val="20"/>
        </w:rPr>
        <w:t>Anxious Masculinity</w:t>
      </w:r>
      <w:r>
        <w:rPr>
          <w:sz w:val="20"/>
          <w:szCs w:val="20"/>
        </w:rPr>
        <w:t>, 23.</w:t>
      </w:r>
    </w:p>
  </w:footnote>
  <w:footnote w:id="29">
    <w:p w14:paraId="00000058" w14:textId="77777777" w:rsidR="00DD44A3" w:rsidRDefault="00E7744B">
      <w:pPr>
        <w:spacing w:line="240" w:lineRule="auto"/>
        <w:rPr>
          <w:sz w:val="20"/>
          <w:szCs w:val="20"/>
        </w:rPr>
      </w:pPr>
      <w:r>
        <w:rPr>
          <w:vertAlign w:val="superscript"/>
        </w:rPr>
        <w:footnoteRef/>
      </w:r>
      <w:r>
        <w:rPr>
          <w:sz w:val="20"/>
          <w:szCs w:val="20"/>
        </w:rPr>
        <w:t xml:space="preserve"> Bendall, </w:t>
      </w:r>
      <w:r>
        <w:rPr>
          <w:i/>
          <w:sz w:val="20"/>
          <w:szCs w:val="20"/>
        </w:rPr>
        <w:t xml:space="preserve">Shaping Femininity, </w:t>
      </w:r>
      <w:r>
        <w:rPr>
          <w:sz w:val="20"/>
          <w:szCs w:val="20"/>
        </w:rPr>
        <w:t>75.</w:t>
      </w:r>
    </w:p>
  </w:footnote>
  <w:footnote w:id="30">
    <w:p w14:paraId="00000059" w14:textId="77777777" w:rsidR="00DD44A3" w:rsidRDefault="00E7744B">
      <w:pPr>
        <w:spacing w:line="240" w:lineRule="auto"/>
        <w:rPr>
          <w:sz w:val="20"/>
          <w:szCs w:val="20"/>
        </w:rPr>
      </w:pPr>
      <w:r>
        <w:rPr>
          <w:vertAlign w:val="superscript"/>
        </w:rPr>
        <w:footnoteRef/>
      </w:r>
      <w:r>
        <w:rPr>
          <w:sz w:val="20"/>
          <w:szCs w:val="20"/>
        </w:rPr>
        <w:t xml:space="preserve"> Bendall, “To Write a Distick,” 207.</w:t>
      </w:r>
    </w:p>
  </w:footnote>
  <w:footnote w:id="31">
    <w:p w14:paraId="00000088" w14:textId="77777777" w:rsidR="00DD44A3" w:rsidRDefault="00E7744B">
      <w:pPr>
        <w:spacing w:line="240" w:lineRule="auto"/>
        <w:rPr>
          <w:sz w:val="20"/>
          <w:szCs w:val="20"/>
        </w:rPr>
      </w:pPr>
      <w:r>
        <w:rPr>
          <w:vertAlign w:val="superscript"/>
        </w:rPr>
        <w:footnoteRef/>
      </w:r>
      <w:r>
        <w:rPr>
          <w:sz w:val="20"/>
          <w:szCs w:val="20"/>
        </w:rPr>
        <w:t xml:space="preserve"> Bendall,</w:t>
      </w:r>
      <w:r>
        <w:rPr>
          <w:sz w:val="20"/>
          <w:szCs w:val="20"/>
        </w:rPr>
        <w:t xml:space="preserve"> “To Write a Distick,” 215.</w:t>
      </w:r>
    </w:p>
  </w:footnote>
  <w:footnote w:id="32">
    <w:p w14:paraId="00000089" w14:textId="77777777" w:rsidR="00DD44A3" w:rsidRDefault="00E7744B">
      <w:pPr>
        <w:spacing w:line="240" w:lineRule="auto"/>
        <w:rPr>
          <w:sz w:val="20"/>
          <w:szCs w:val="20"/>
        </w:rPr>
      </w:pPr>
      <w:r>
        <w:rPr>
          <w:vertAlign w:val="superscript"/>
        </w:rPr>
        <w:footnoteRef/>
      </w:r>
      <w:r>
        <w:rPr>
          <w:sz w:val="20"/>
          <w:szCs w:val="20"/>
        </w:rPr>
        <w:t xml:space="preserve"> Bendall, “To Write a Distick,” 215.</w:t>
      </w:r>
    </w:p>
  </w:footnote>
  <w:footnote w:id="33">
    <w:p w14:paraId="0000008A" w14:textId="77777777" w:rsidR="00DD44A3" w:rsidRDefault="00E7744B">
      <w:pPr>
        <w:spacing w:line="240" w:lineRule="auto"/>
        <w:rPr>
          <w:sz w:val="20"/>
          <w:szCs w:val="20"/>
        </w:rPr>
      </w:pPr>
      <w:r>
        <w:rPr>
          <w:vertAlign w:val="superscript"/>
        </w:rPr>
        <w:footnoteRef/>
      </w:r>
      <w:r>
        <w:rPr>
          <w:sz w:val="20"/>
          <w:szCs w:val="20"/>
        </w:rPr>
        <w:t xml:space="preserve"> Bendall, </w:t>
      </w:r>
      <w:r>
        <w:rPr>
          <w:i/>
          <w:sz w:val="20"/>
          <w:szCs w:val="20"/>
        </w:rPr>
        <w:t>Shaping Femininity</w:t>
      </w:r>
      <w:r>
        <w:rPr>
          <w:sz w:val="20"/>
          <w:szCs w:val="20"/>
        </w:rPr>
        <w:t>, 75; Feinstein, “The Busk Between” 72.</w:t>
      </w:r>
    </w:p>
  </w:footnote>
  <w:footnote w:id="34">
    <w:p w14:paraId="0000008C" w14:textId="77777777" w:rsidR="00DD44A3" w:rsidRDefault="00E7744B">
      <w:pPr>
        <w:spacing w:line="240" w:lineRule="auto"/>
        <w:rPr>
          <w:sz w:val="20"/>
          <w:szCs w:val="20"/>
        </w:rPr>
      </w:pPr>
      <w:r>
        <w:rPr>
          <w:vertAlign w:val="superscript"/>
        </w:rPr>
        <w:footnoteRef/>
      </w:r>
      <w:r>
        <w:rPr>
          <w:sz w:val="20"/>
          <w:szCs w:val="20"/>
        </w:rPr>
        <w:t xml:space="preserve"> Gwilliam Tassie, “Female Fraud: Counterfeit Maidenheads in the Eighteenth Centu</w:t>
      </w:r>
      <w:r>
        <w:rPr>
          <w:sz w:val="20"/>
          <w:szCs w:val="20"/>
        </w:rPr>
        <w:t xml:space="preserve">ry,” </w:t>
      </w:r>
      <w:r>
        <w:rPr>
          <w:i/>
          <w:sz w:val="20"/>
          <w:szCs w:val="20"/>
        </w:rPr>
        <w:t>Journal of the History of Sexuality</w:t>
      </w:r>
      <w:r>
        <w:rPr>
          <w:sz w:val="20"/>
          <w:szCs w:val="20"/>
        </w:rPr>
        <w:t xml:space="preserve"> 6, no. 4 (April 1, 1996): 519, https://www.jstor.org/stable/4617220. </w:t>
      </w:r>
    </w:p>
  </w:footnote>
  <w:footnote w:id="35">
    <w:p w14:paraId="00000066" w14:textId="77777777" w:rsidR="00DD44A3" w:rsidRDefault="00E7744B">
      <w:pPr>
        <w:spacing w:line="240" w:lineRule="auto"/>
        <w:rPr>
          <w:sz w:val="20"/>
          <w:szCs w:val="20"/>
        </w:rPr>
      </w:pPr>
      <w:r>
        <w:rPr>
          <w:vertAlign w:val="superscript"/>
        </w:rPr>
        <w:footnoteRef/>
      </w:r>
      <w:r>
        <w:rPr>
          <w:sz w:val="20"/>
          <w:szCs w:val="20"/>
        </w:rPr>
        <w:t xml:space="preserve"> Laura Growing, </w:t>
      </w:r>
      <w:r>
        <w:rPr>
          <w:i/>
          <w:sz w:val="20"/>
          <w:szCs w:val="20"/>
        </w:rPr>
        <w:t>Common Bodies : Women, Touch and Power in Seventeenth-Century England</w:t>
      </w:r>
      <w:r>
        <w:rPr>
          <w:sz w:val="20"/>
          <w:szCs w:val="20"/>
        </w:rPr>
        <w:t>, (New Haven: Yale University Press, 2003), 38</w:t>
      </w:r>
    </w:p>
  </w:footnote>
  <w:footnote w:id="36">
    <w:p w14:paraId="0000007E" w14:textId="77777777" w:rsidR="00DD44A3" w:rsidRDefault="00E7744B">
      <w:pPr>
        <w:spacing w:line="240" w:lineRule="auto"/>
        <w:rPr>
          <w:sz w:val="20"/>
          <w:szCs w:val="20"/>
        </w:rPr>
      </w:pPr>
      <w:r>
        <w:rPr>
          <w:vertAlign w:val="superscript"/>
        </w:rPr>
        <w:footnoteRef/>
      </w:r>
      <w:r>
        <w:rPr>
          <w:sz w:val="20"/>
          <w:szCs w:val="20"/>
        </w:rPr>
        <w:t xml:space="preserve"> </w:t>
      </w:r>
      <w:r>
        <w:rPr>
          <w:sz w:val="20"/>
          <w:szCs w:val="20"/>
        </w:rPr>
        <w:t>Bendall “To Write a Distick,” 214.</w:t>
      </w:r>
    </w:p>
  </w:footnote>
  <w:footnote w:id="37">
    <w:p w14:paraId="00000083" w14:textId="77777777" w:rsidR="00DD44A3" w:rsidRDefault="00E7744B">
      <w:pPr>
        <w:spacing w:line="240" w:lineRule="auto"/>
        <w:rPr>
          <w:sz w:val="20"/>
          <w:szCs w:val="20"/>
        </w:rPr>
      </w:pPr>
      <w:r>
        <w:rPr>
          <w:vertAlign w:val="superscript"/>
        </w:rPr>
        <w:footnoteRef/>
      </w:r>
      <w:r>
        <w:rPr>
          <w:sz w:val="20"/>
          <w:szCs w:val="20"/>
        </w:rPr>
        <w:t xml:space="preserve"> Sarah A. Bendall, “‘Take Measure of Your Wide and Flaunting Garments’: The Farthingale, Gender and the Consumption of Space in Elizabethan and Jacobean England,” Renaissance Studies: </w:t>
      </w:r>
      <w:r>
        <w:rPr>
          <w:i/>
          <w:sz w:val="20"/>
          <w:szCs w:val="20"/>
        </w:rPr>
        <w:t>Journal of the Society for Renaissance S</w:t>
      </w:r>
      <w:r>
        <w:rPr>
          <w:i/>
          <w:sz w:val="20"/>
          <w:szCs w:val="20"/>
        </w:rPr>
        <w:t xml:space="preserve">tudies </w:t>
      </w:r>
      <w:r>
        <w:rPr>
          <w:sz w:val="20"/>
          <w:szCs w:val="20"/>
        </w:rPr>
        <w:t>33, no. 5 (November 2019): 728, doi:10.1111/rest.12537.</w:t>
      </w:r>
    </w:p>
  </w:footnote>
  <w:footnote w:id="38">
    <w:p w14:paraId="00000096" w14:textId="77777777" w:rsidR="00DD44A3" w:rsidRDefault="00E7744B">
      <w:pPr>
        <w:spacing w:line="240" w:lineRule="auto"/>
        <w:rPr>
          <w:sz w:val="20"/>
          <w:szCs w:val="20"/>
        </w:rPr>
      </w:pPr>
      <w:r>
        <w:rPr>
          <w:vertAlign w:val="superscript"/>
        </w:rPr>
        <w:footnoteRef/>
      </w:r>
      <w:r>
        <w:rPr>
          <w:sz w:val="20"/>
          <w:szCs w:val="20"/>
        </w:rPr>
        <w:t xml:space="preserve"> Feinstein, “T</w:t>
      </w:r>
      <w:r>
        <w:rPr>
          <w:sz w:val="20"/>
          <w:szCs w:val="20"/>
        </w:rPr>
        <w:t>he Busk Between,” 66.</w:t>
      </w:r>
    </w:p>
  </w:footnote>
  <w:footnote w:id="39">
    <w:p w14:paraId="0000007F" w14:textId="77777777" w:rsidR="00DD44A3" w:rsidRDefault="00E7744B">
      <w:pPr>
        <w:spacing w:line="240" w:lineRule="auto"/>
        <w:rPr>
          <w:sz w:val="20"/>
          <w:szCs w:val="20"/>
        </w:rPr>
      </w:pPr>
      <w:r>
        <w:rPr>
          <w:vertAlign w:val="superscript"/>
        </w:rPr>
        <w:footnoteRef/>
      </w:r>
      <w:r>
        <w:rPr>
          <w:sz w:val="20"/>
          <w:szCs w:val="20"/>
        </w:rPr>
        <w:t xml:space="preserve"> Feinstein, “The Busk Between,” 66.</w:t>
      </w:r>
    </w:p>
  </w:footnote>
  <w:footnote w:id="40">
    <w:p w14:paraId="00000084" w14:textId="77777777" w:rsidR="00DD44A3" w:rsidRDefault="00E7744B">
      <w:pPr>
        <w:spacing w:line="240" w:lineRule="auto"/>
        <w:rPr>
          <w:sz w:val="20"/>
          <w:szCs w:val="20"/>
        </w:rPr>
      </w:pPr>
      <w:r>
        <w:rPr>
          <w:vertAlign w:val="superscript"/>
        </w:rPr>
        <w:footnoteRef/>
      </w:r>
      <w:r>
        <w:rPr>
          <w:sz w:val="20"/>
          <w:szCs w:val="20"/>
        </w:rPr>
        <w:t xml:space="preserve"> Jones and Stallybrass, “Busks and Bodies,” 268.</w:t>
      </w:r>
    </w:p>
  </w:footnote>
  <w:footnote w:id="41">
    <w:p w14:paraId="0000009B" w14:textId="77777777" w:rsidR="00DD44A3" w:rsidRDefault="00E7744B">
      <w:pPr>
        <w:spacing w:line="240" w:lineRule="auto"/>
        <w:rPr>
          <w:sz w:val="20"/>
          <w:szCs w:val="20"/>
        </w:rPr>
      </w:pPr>
      <w:r>
        <w:rPr>
          <w:vertAlign w:val="superscript"/>
        </w:rPr>
        <w:footnoteRef/>
      </w:r>
      <w:r>
        <w:rPr>
          <w:sz w:val="20"/>
          <w:szCs w:val="20"/>
        </w:rPr>
        <w:t xml:space="preserve"> Feinstein, “The Busk Between,” 66.</w:t>
      </w:r>
    </w:p>
  </w:footnote>
  <w:footnote w:id="42">
    <w:p w14:paraId="0000006F" w14:textId="77777777" w:rsidR="00DD44A3" w:rsidRDefault="00E7744B">
      <w:pPr>
        <w:spacing w:line="240" w:lineRule="auto"/>
        <w:rPr>
          <w:sz w:val="20"/>
          <w:szCs w:val="20"/>
        </w:rPr>
      </w:pPr>
      <w:r>
        <w:rPr>
          <w:vertAlign w:val="superscript"/>
        </w:rPr>
        <w:footnoteRef/>
      </w:r>
      <w:r>
        <w:rPr>
          <w:sz w:val="20"/>
          <w:szCs w:val="20"/>
        </w:rPr>
        <w:t xml:space="preserve"> Bendall, </w:t>
      </w:r>
      <w:r>
        <w:rPr>
          <w:i/>
          <w:sz w:val="20"/>
          <w:szCs w:val="20"/>
        </w:rPr>
        <w:t>Shaping Femininity</w:t>
      </w:r>
      <w:r>
        <w:rPr>
          <w:sz w:val="20"/>
          <w:szCs w:val="20"/>
        </w:rPr>
        <w:t>, 77.</w:t>
      </w:r>
    </w:p>
  </w:footnote>
  <w:footnote w:id="43">
    <w:p w14:paraId="0000008B" w14:textId="77777777" w:rsidR="00DD44A3" w:rsidRDefault="00E7744B">
      <w:pPr>
        <w:spacing w:line="240" w:lineRule="auto"/>
        <w:rPr>
          <w:sz w:val="20"/>
          <w:szCs w:val="20"/>
        </w:rPr>
      </w:pPr>
      <w:r>
        <w:rPr>
          <w:vertAlign w:val="superscript"/>
        </w:rPr>
        <w:footnoteRef/>
      </w:r>
      <w:r>
        <w:rPr>
          <w:sz w:val="20"/>
          <w:szCs w:val="20"/>
        </w:rPr>
        <w:t xml:space="preserve"> Feinstein, “The Busk Between,” 66-67.</w:t>
      </w:r>
    </w:p>
  </w:footnote>
  <w:footnote w:id="44">
    <w:p w14:paraId="00000070" w14:textId="77777777" w:rsidR="00DD44A3" w:rsidRDefault="00E7744B">
      <w:pPr>
        <w:spacing w:line="240" w:lineRule="auto"/>
        <w:rPr>
          <w:sz w:val="20"/>
          <w:szCs w:val="20"/>
        </w:rPr>
      </w:pPr>
      <w:r>
        <w:rPr>
          <w:vertAlign w:val="superscript"/>
        </w:rPr>
        <w:footnoteRef/>
      </w:r>
      <w:r>
        <w:rPr>
          <w:sz w:val="20"/>
          <w:szCs w:val="20"/>
        </w:rPr>
        <w:t xml:space="preserve"> Kimberly Poitevin, “Inventing Whiteness: Cosmetics, Race, and </w:t>
      </w:r>
      <w:r>
        <w:rPr>
          <w:sz w:val="20"/>
          <w:szCs w:val="20"/>
        </w:rPr>
        <w:t xml:space="preserve">Women in Early Modern England,” </w:t>
      </w:r>
      <w:r>
        <w:rPr>
          <w:i/>
          <w:sz w:val="20"/>
          <w:szCs w:val="20"/>
        </w:rPr>
        <w:t>Journal for Early Modern Cultural Studies</w:t>
      </w:r>
      <w:r>
        <w:rPr>
          <w:sz w:val="20"/>
          <w:szCs w:val="20"/>
        </w:rPr>
        <w:t xml:space="preserve"> 11, no. 1 (April 1, 2011): https://www.jstor.org/stable/23242188.</w:t>
      </w:r>
    </w:p>
  </w:footnote>
  <w:footnote w:id="45">
    <w:p w14:paraId="0000009C" w14:textId="77777777" w:rsidR="00DD44A3" w:rsidRDefault="00E7744B">
      <w:pPr>
        <w:spacing w:line="240" w:lineRule="auto"/>
        <w:rPr>
          <w:sz w:val="20"/>
          <w:szCs w:val="20"/>
        </w:rPr>
      </w:pPr>
      <w:r>
        <w:rPr>
          <w:vertAlign w:val="superscript"/>
        </w:rPr>
        <w:footnoteRef/>
      </w:r>
      <w:r>
        <w:rPr>
          <w:sz w:val="20"/>
          <w:szCs w:val="20"/>
        </w:rPr>
        <w:t xml:space="preserve"> Bendall, </w:t>
      </w:r>
      <w:r>
        <w:rPr>
          <w:i/>
          <w:sz w:val="20"/>
          <w:szCs w:val="20"/>
        </w:rPr>
        <w:t>Shaping Femininity</w:t>
      </w:r>
      <w:r>
        <w:rPr>
          <w:sz w:val="20"/>
          <w:szCs w:val="20"/>
        </w:rPr>
        <w:t>, 76.</w:t>
      </w:r>
    </w:p>
  </w:footnote>
  <w:footnote w:id="46">
    <w:p w14:paraId="00000072" w14:textId="77777777" w:rsidR="00DD44A3" w:rsidRDefault="00E7744B">
      <w:pPr>
        <w:spacing w:line="240" w:lineRule="auto"/>
        <w:rPr>
          <w:sz w:val="20"/>
          <w:szCs w:val="20"/>
        </w:rPr>
      </w:pPr>
      <w:r>
        <w:rPr>
          <w:vertAlign w:val="superscript"/>
        </w:rPr>
        <w:footnoteRef/>
      </w:r>
      <w:r>
        <w:rPr>
          <w:sz w:val="20"/>
          <w:szCs w:val="20"/>
        </w:rPr>
        <w:t xml:space="preserve"> Bendall, </w:t>
      </w:r>
      <w:r>
        <w:rPr>
          <w:i/>
          <w:sz w:val="20"/>
          <w:szCs w:val="20"/>
        </w:rPr>
        <w:t>Shaping Femininity</w:t>
      </w:r>
      <w:r>
        <w:rPr>
          <w:sz w:val="20"/>
          <w:szCs w:val="20"/>
        </w:rPr>
        <w:t>, 76.</w:t>
      </w:r>
    </w:p>
  </w:footnote>
  <w:footnote w:id="47">
    <w:p w14:paraId="00000071" w14:textId="77777777" w:rsidR="00DD44A3" w:rsidRDefault="00E7744B">
      <w:pPr>
        <w:spacing w:line="240" w:lineRule="auto"/>
        <w:rPr>
          <w:sz w:val="20"/>
          <w:szCs w:val="20"/>
        </w:rPr>
      </w:pPr>
      <w:r>
        <w:rPr>
          <w:vertAlign w:val="superscript"/>
        </w:rPr>
        <w:footnoteRef/>
      </w:r>
      <w:r>
        <w:rPr>
          <w:sz w:val="20"/>
          <w:szCs w:val="20"/>
        </w:rPr>
        <w:t xml:space="preserve"> Bendall, </w:t>
      </w:r>
      <w:r>
        <w:rPr>
          <w:i/>
          <w:sz w:val="20"/>
          <w:szCs w:val="20"/>
        </w:rPr>
        <w:t>Shaping Femininity</w:t>
      </w:r>
      <w:r>
        <w:rPr>
          <w:sz w:val="20"/>
          <w:szCs w:val="20"/>
        </w:rPr>
        <w:t>,  78.</w:t>
      </w:r>
    </w:p>
  </w:footnote>
  <w:footnote w:id="48">
    <w:p w14:paraId="00000073" w14:textId="77777777" w:rsidR="00DD44A3" w:rsidRDefault="00E7744B">
      <w:pPr>
        <w:spacing w:line="240" w:lineRule="auto"/>
        <w:rPr>
          <w:sz w:val="20"/>
          <w:szCs w:val="20"/>
        </w:rPr>
      </w:pPr>
      <w:r>
        <w:rPr>
          <w:vertAlign w:val="superscript"/>
        </w:rPr>
        <w:footnoteRef/>
      </w:r>
      <w:r>
        <w:rPr>
          <w:sz w:val="20"/>
          <w:szCs w:val="20"/>
        </w:rPr>
        <w:t xml:space="preserve"> Breitenberg, </w:t>
      </w:r>
      <w:r>
        <w:rPr>
          <w:i/>
          <w:sz w:val="20"/>
          <w:szCs w:val="20"/>
        </w:rPr>
        <w:t xml:space="preserve">Anxious Masculinity, 3; </w:t>
      </w:r>
      <w:r>
        <w:rPr>
          <w:sz w:val="20"/>
          <w:szCs w:val="20"/>
        </w:rPr>
        <w:t>Bendal</w:t>
      </w:r>
      <w:r>
        <w:rPr>
          <w:sz w:val="20"/>
          <w:szCs w:val="20"/>
        </w:rPr>
        <w:t xml:space="preserve">l, </w:t>
      </w:r>
      <w:r>
        <w:rPr>
          <w:i/>
          <w:sz w:val="20"/>
          <w:szCs w:val="20"/>
        </w:rPr>
        <w:t>Shaping Femininity</w:t>
      </w:r>
      <w:r>
        <w:rPr>
          <w:sz w:val="20"/>
          <w:szCs w:val="20"/>
        </w:rPr>
        <w:t>, 77.</w:t>
      </w:r>
    </w:p>
  </w:footnote>
  <w:footnote w:id="49">
    <w:p w14:paraId="0000009D" w14:textId="77777777" w:rsidR="00DD44A3" w:rsidRDefault="00E7744B">
      <w:pPr>
        <w:spacing w:line="240" w:lineRule="auto"/>
        <w:rPr>
          <w:sz w:val="20"/>
          <w:szCs w:val="20"/>
        </w:rPr>
      </w:pPr>
      <w:r>
        <w:rPr>
          <w:vertAlign w:val="superscript"/>
        </w:rPr>
        <w:footnoteRef/>
      </w:r>
      <w:r>
        <w:rPr>
          <w:sz w:val="20"/>
          <w:szCs w:val="20"/>
        </w:rPr>
        <w:t xml:space="preserve"> Bendall, “To Write a Distick,” 206-207.</w:t>
      </w:r>
    </w:p>
  </w:footnote>
  <w:footnote w:id="50">
    <w:p w14:paraId="0000009E" w14:textId="77777777" w:rsidR="00DD44A3" w:rsidRDefault="00E7744B">
      <w:pPr>
        <w:spacing w:line="240" w:lineRule="auto"/>
        <w:rPr>
          <w:sz w:val="20"/>
          <w:szCs w:val="20"/>
        </w:rPr>
      </w:pPr>
      <w:r>
        <w:rPr>
          <w:vertAlign w:val="superscript"/>
        </w:rPr>
        <w:footnoteRef/>
      </w:r>
      <w:r>
        <w:rPr>
          <w:sz w:val="20"/>
          <w:szCs w:val="20"/>
        </w:rPr>
        <w:t xml:space="preserve"> Bendall, “To Write a Distick,” 207.</w:t>
      </w:r>
    </w:p>
  </w:footnote>
  <w:footnote w:id="51">
    <w:p w14:paraId="0000005A" w14:textId="77777777" w:rsidR="00DD44A3" w:rsidRDefault="00E7744B">
      <w:pPr>
        <w:spacing w:line="240" w:lineRule="auto"/>
        <w:rPr>
          <w:sz w:val="20"/>
          <w:szCs w:val="20"/>
        </w:rPr>
      </w:pPr>
      <w:r>
        <w:rPr>
          <w:vertAlign w:val="superscript"/>
        </w:rPr>
        <w:footnoteRef/>
      </w:r>
      <w:r>
        <w:rPr>
          <w:sz w:val="20"/>
          <w:szCs w:val="20"/>
        </w:rPr>
        <w:t xml:space="preserve"> Poitevin, “Inventing Whiteness,” 82.</w:t>
      </w:r>
    </w:p>
  </w:footnote>
  <w:footnote w:id="52">
    <w:p w14:paraId="000000A0" w14:textId="77777777" w:rsidR="00DD44A3" w:rsidRDefault="00E7744B">
      <w:pPr>
        <w:spacing w:line="240" w:lineRule="auto"/>
        <w:rPr>
          <w:sz w:val="20"/>
          <w:szCs w:val="20"/>
        </w:rPr>
      </w:pPr>
      <w:r>
        <w:rPr>
          <w:vertAlign w:val="superscript"/>
        </w:rPr>
        <w:footnoteRef/>
      </w:r>
      <w:r>
        <w:rPr>
          <w:sz w:val="20"/>
          <w:szCs w:val="20"/>
        </w:rPr>
        <w:t xml:space="preserve"> Bruno Blonde &amp; Iris Sturewagen,</w:t>
      </w:r>
      <w:r>
        <w:rPr>
          <w:i/>
          <w:sz w:val="20"/>
          <w:szCs w:val="20"/>
        </w:rPr>
        <w:t xml:space="preserve"> The Right to Dress : Sumptuary Laws in a Global Perspective</w:t>
      </w:r>
      <w:r>
        <w:rPr>
          <w:sz w:val="20"/>
          <w:szCs w:val="20"/>
        </w:rPr>
        <w:t xml:space="preserve">, c. 1200-1800, (Cambridge: Cambridge University Press, 2019), 74-75; Bendall, </w:t>
      </w:r>
      <w:r>
        <w:rPr>
          <w:i/>
          <w:sz w:val="20"/>
          <w:szCs w:val="20"/>
        </w:rPr>
        <w:t>Shaping Fem</w:t>
      </w:r>
      <w:r>
        <w:rPr>
          <w:i/>
          <w:sz w:val="20"/>
          <w:szCs w:val="20"/>
        </w:rPr>
        <w:t>ininity</w:t>
      </w:r>
      <w:r>
        <w:rPr>
          <w:sz w:val="20"/>
          <w:szCs w:val="20"/>
        </w:rPr>
        <w:t>,  88-89.</w:t>
      </w:r>
    </w:p>
  </w:footnote>
  <w:footnote w:id="53">
    <w:p w14:paraId="0000005B" w14:textId="77777777" w:rsidR="00DD44A3" w:rsidRDefault="00E7744B">
      <w:pPr>
        <w:spacing w:line="240" w:lineRule="auto"/>
        <w:rPr>
          <w:sz w:val="20"/>
          <w:szCs w:val="20"/>
        </w:rPr>
      </w:pPr>
      <w:r>
        <w:rPr>
          <w:vertAlign w:val="superscript"/>
        </w:rPr>
        <w:footnoteRef/>
      </w:r>
      <w:r>
        <w:rPr>
          <w:sz w:val="20"/>
          <w:szCs w:val="20"/>
        </w:rPr>
        <w:t xml:space="preserve"> Bendall, </w:t>
      </w:r>
      <w:r>
        <w:rPr>
          <w:i/>
          <w:sz w:val="20"/>
          <w:szCs w:val="20"/>
        </w:rPr>
        <w:t>Shaping Femininity</w:t>
      </w:r>
      <w:r>
        <w:rPr>
          <w:sz w:val="20"/>
          <w:szCs w:val="20"/>
        </w:rPr>
        <w:t>, 76.</w:t>
      </w:r>
    </w:p>
  </w:footnote>
  <w:footnote w:id="54">
    <w:p w14:paraId="0000008D" w14:textId="77777777" w:rsidR="00DD44A3" w:rsidRDefault="00E7744B">
      <w:pPr>
        <w:spacing w:line="240" w:lineRule="auto"/>
        <w:rPr>
          <w:sz w:val="20"/>
          <w:szCs w:val="20"/>
        </w:rPr>
      </w:pPr>
      <w:r>
        <w:rPr>
          <w:vertAlign w:val="superscript"/>
        </w:rPr>
        <w:footnoteRef/>
      </w:r>
      <w:r>
        <w:rPr>
          <w:sz w:val="20"/>
          <w:szCs w:val="20"/>
        </w:rPr>
        <w:t xml:space="preserve"> Bendall, </w:t>
      </w:r>
      <w:r>
        <w:rPr>
          <w:i/>
          <w:sz w:val="20"/>
          <w:szCs w:val="20"/>
        </w:rPr>
        <w:t>Shaping Femininity</w:t>
      </w:r>
      <w:r>
        <w:rPr>
          <w:sz w:val="20"/>
          <w:szCs w:val="20"/>
        </w:rPr>
        <w:t>, 57.</w:t>
      </w:r>
    </w:p>
  </w:footnote>
  <w:footnote w:id="55">
    <w:p w14:paraId="0000008F" w14:textId="77777777" w:rsidR="00DD44A3" w:rsidRDefault="00E7744B">
      <w:pPr>
        <w:spacing w:line="240" w:lineRule="auto"/>
        <w:rPr>
          <w:sz w:val="20"/>
          <w:szCs w:val="20"/>
        </w:rPr>
      </w:pPr>
      <w:r>
        <w:rPr>
          <w:vertAlign w:val="superscript"/>
        </w:rPr>
        <w:footnoteRef/>
      </w:r>
      <w:r>
        <w:rPr>
          <w:sz w:val="20"/>
          <w:szCs w:val="20"/>
        </w:rPr>
        <w:t xml:space="preserve"> Bella M. Mirabella,  </w:t>
      </w:r>
      <w:r>
        <w:rPr>
          <w:i/>
          <w:sz w:val="20"/>
          <w:szCs w:val="20"/>
        </w:rPr>
        <w:t>Ornamentalism : The Art of Renaissance Accessories</w:t>
      </w:r>
      <w:r>
        <w:rPr>
          <w:sz w:val="20"/>
          <w:szCs w:val="20"/>
        </w:rPr>
        <w:t>, (A</w:t>
      </w:r>
      <w:r>
        <w:rPr>
          <w:sz w:val="20"/>
          <w:szCs w:val="20"/>
        </w:rPr>
        <w:t>nn Arbor: University of Michigan Press, 2011), 85.</w:t>
      </w:r>
    </w:p>
  </w:footnote>
  <w:footnote w:id="56">
    <w:p w14:paraId="0000006A" w14:textId="77777777" w:rsidR="00DD44A3" w:rsidRDefault="00E7744B">
      <w:pPr>
        <w:spacing w:line="240" w:lineRule="auto"/>
        <w:rPr>
          <w:sz w:val="20"/>
          <w:szCs w:val="20"/>
        </w:rPr>
      </w:pPr>
      <w:r>
        <w:rPr>
          <w:vertAlign w:val="superscript"/>
        </w:rPr>
        <w:footnoteRef/>
      </w:r>
      <w:r>
        <w:rPr>
          <w:sz w:val="20"/>
          <w:szCs w:val="20"/>
        </w:rPr>
        <w:t xml:space="preserve"> Breitenberg, </w:t>
      </w:r>
      <w:r>
        <w:rPr>
          <w:i/>
          <w:sz w:val="20"/>
          <w:szCs w:val="20"/>
        </w:rPr>
        <w:t>Anxious Masculinity</w:t>
      </w:r>
      <w:r>
        <w:rPr>
          <w:sz w:val="20"/>
          <w:szCs w:val="20"/>
        </w:rPr>
        <w:t>, 12.</w:t>
      </w:r>
    </w:p>
  </w:footnote>
  <w:footnote w:id="57">
    <w:p w14:paraId="0000006B" w14:textId="77777777" w:rsidR="00DD44A3" w:rsidRDefault="00E7744B">
      <w:pPr>
        <w:spacing w:line="240" w:lineRule="auto"/>
        <w:rPr>
          <w:sz w:val="20"/>
          <w:szCs w:val="20"/>
        </w:rPr>
      </w:pPr>
      <w:r>
        <w:rPr>
          <w:vertAlign w:val="superscript"/>
        </w:rPr>
        <w:footnoteRef/>
      </w:r>
      <w:r>
        <w:rPr>
          <w:sz w:val="20"/>
          <w:szCs w:val="20"/>
        </w:rPr>
        <w:t xml:space="preserve"> Bendall, </w:t>
      </w:r>
      <w:r>
        <w:rPr>
          <w:i/>
          <w:sz w:val="20"/>
          <w:szCs w:val="20"/>
        </w:rPr>
        <w:t>Shaping Femininity</w:t>
      </w:r>
      <w:r>
        <w:rPr>
          <w:sz w:val="20"/>
          <w:szCs w:val="20"/>
        </w:rPr>
        <w:t>, 75.</w:t>
      </w:r>
    </w:p>
  </w:footnote>
  <w:footnote w:id="58">
    <w:p w14:paraId="0000006C" w14:textId="77777777" w:rsidR="00DD44A3" w:rsidRDefault="00E7744B">
      <w:pPr>
        <w:spacing w:line="240" w:lineRule="auto"/>
        <w:rPr>
          <w:sz w:val="20"/>
          <w:szCs w:val="20"/>
        </w:rPr>
      </w:pPr>
      <w:r>
        <w:rPr>
          <w:vertAlign w:val="superscript"/>
        </w:rPr>
        <w:footnoteRef/>
      </w:r>
      <w:r>
        <w:rPr>
          <w:sz w:val="20"/>
          <w:szCs w:val="20"/>
        </w:rPr>
        <w:t xml:space="preserve"> Jones and Stallybrass, “Of Busks and Bodies,” 263.</w:t>
      </w:r>
    </w:p>
  </w:footnote>
  <w:footnote w:id="59">
    <w:p w14:paraId="0000008E" w14:textId="77777777" w:rsidR="00DD44A3" w:rsidRDefault="00E7744B">
      <w:pPr>
        <w:spacing w:line="240" w:lineRule="auto"/>
        <w:rPr>
          <w:sz w:val="20"/>
          <w:szCs w:val="20"/>
        </w:rPr>
      </w:pPr>
      <w:r>
        <w:rPr>
          <w:vertAlign w:val="superscript"/>
        </w:rPr>
        <w:footnoteRef/>
      </w:r>
      <w:r>
        <w:rPr>
          <w:sz w:val="20"/>
          <w:szCs w:val="20"/>
        </w:rPr>
        <w:t xml:space="preserve"> Mirabella,  </w:t>
      </w:r>
      <w:r>
        <w:rPr>
          <w:i/>
          <w:sz w:val="20"/>
          <w:szCs w:val="20"/>
        </w:rPr>
        <w:t>Ornamentalism</w:t>
      </w:r>
      <w:r>
        <w:rPr>
          <w:sz w:val="20"/>
          <w:szCs w:val="20"/>
        </w:rPr>
        <w:t>, 85.</w:t>
      </w:r>
    </w:p>
  </w:footnote>
  <w:footnote w:id="60">
    <w:p w14:paraId="0000009F" w14:textId="77777777" w:rsidR="00DD44A3" w:rsidRDefault="00E7744B">
      <w:pPr>
        <w:spacing w:line="240" w:lineRule="auto"/>
        <w:rPr>
          <w:sz w:val="20"/>
          <w:szCs w:val="20"/>
        </w:rPr>
      </w:pPr>
      <w:r>
        <w:rPr>
          <w:vertAlign w:val="superscript"/>
        </w:rPr>
        <w:footnoteRef/>
      </w:r>
      <w:r>
        <w:rPr>
          <w:sz w:val="20"/>
          <w:szCs w:val="20"/>
        </w:rPr>
        <w:t xml:space="preserve"> A</w:t>
      </w:r>
      <w:r>
        <w:rPr>
          <w:sz w:val="20"/>
          <w:szCs w:val="20"/>
        </w:rPr>
        <w:t xml:space="preserve">uslander “Deploying Material Culture,” 169;  Growing, </w:t>
      </w:r>
      <w:r>
        <w:rPr>
          <w:i/>
          <w:sz w:val="20"/>
          <w:szCs w:val="20"/>
        </w:rPr>
        <w:t>Common Bodies,</w:t>
      </w:r>
      <w:r>
        <w:rPr>
          <w:sz w:val="20"/>
          <w:szCs w:val="20"/>
        </w:rPr>
        <w:t xml:space="preserve"> 32.</w:t>
      </w:r>
    </w:p>
  </w:footnote>
  <w:footnote w:id="61">
    <w:p w14:paraId="00000091" w14:textId="77777777" w:rsidR="00DD44A3" w:rsidRDefault="00E7744B">
      <w:pPr>
        <w:spacing w:line="240" w:lineRule="auto"/>
        <w:rPr>
          <w:sz w:val="20"/>
          <w:szCs w:val="20"/>
        </w:rPr>
      </w:pPr>
      <w:r>
        <w:rPr>
          <w:vertAlign w:val="superscript"/>
        </w:rPr>
        <w:footnoteRef/>
      </w:r>
      <w:r>
        <w:rPr>
          <w:sz w:val="20"/>
          <w:szCs w:val="20"/>
        </w:rPr>
        <w:t xml:space="preserve"> Jones and Stallybrass, “Of Busks and Bodies,” 262.</w:t>
      </w:r>
    </w:p>
  </w:footnote>
  <w:footnote w:id="62">
    <w:p w14:paraId="00000090" w14:textId="77777777" w:rsidR="00DD44A3" w:rsidRDefault="00E7744B">
      <w:pPr>
        <w:spacing w:line="240" w:lineRule="auto"/>
        <w:rPr>
          <w:sz w:val="20"/>
          <w:szCs w:val="20"/>
        </w:rPr>
      </w:pPr>
      <w:r>
        <w:rPr>
          <w:vertAlign w:val="superscript"/>
        </w:rPr>
        <w:footnoteRef/>
      </w:r>
      <w:r>
        <w:rPr>
          <w:sz w:val="20"/>
          <w:szCs w:val="20"/>
        </w:rPr>
        <w:t xml:space="preserve">  Breitenberg, </w:t>
      </w:r>
      <w:r>
        <w:rPr>
          <w:i/>
          <w:sz w:val="20"/>
          <w:szCs w:val="20"/>
        </w:rPr>
        <w:t>Anxious Masculinity</w:t>
      </w:r>
      <w:r>
        <w:rPr>
          <w:sz w:val="20"/>
          <w:szCs w:val="20"/>
        </w:rPr>
        <w:t>, 1.</w:t>
      </w:r>
    </w:p>
  </w:footnote>
  <w:footnote w:id="63">
    <w:p w14:paraId="0000006E" w14:textId="77777777" w:rsidR="00DD44A3" w:rsidRDefault="00E7744B">
      <w:pPr>
        <w:spacing w:line="240" w:lineRule="auto"/>
        <w:rPr>
          <w:sz w:val="20"/>
          <w:szCs w:val="20"/>
        </w:rPr>
      </w:pPr>
      <w:r>
        <w:rPr>
          <w:vertAlign w:val="superscript"/>
        </w:rPr>
        <w:footnoteRef/>
      </w:r>
      <w:r>
        <w:rPr>
          <w:sz w:val="20"/>
          <w:szCs w:val="20"/>
        </w:rPr>
        <w:t xml:space="preserve"> Joan W. Scott,  “Gender: A Useful Category of Historical Analysis,” </w:t>
      </w:r>
      <w:r>
        <w:rPr>
          <w:i/>
          <w:sz w:val="20"/>
          <w:szCs w:val="20"/>
        </w:rPr>
        <w:t xml:space="preserve">The American Historical Review </w:t>
      </w:r>
      <w:r>
        <w:rPr>
          <w:sz w:val="20"/>
          <w:szCs w:val="20"/>
        </w:rPr>
        <w:t>91, no. 5 (December 1, 1986): 1074, doi:10.2307/1864376.</w:t>
      </w:r>
    </w:p>
  </w:footnote>
  <w:footnote w:id="64">
    <w:p w14:paraId="0000006D" w14:textId="77777777" w:rsidR="00DD44A3" w:rsidRDefault="00E7744B">
      <w:pPr>
        <w:spacing w:line="240" w:lineRule="auto"/>
        <w:rPr>
          <w:sz w:val="20"/>
          <w:szCs w:val="20"/>
        </w:rPr>
      </w:pPr>
      <w:r>
        <w:rPr>
          <w:vertAlign w:val="superscript"/>
        </w:rPr>
        <w:footnoteRef/>
      </w:r>
      <w:r>
        <w:rPr>
          <w:sz w:val="20"/>
          <w:szCs w:val="20"/>
        </w:rPr>
        <w:t xml:space="preserve"> Auslander “Deploying Material Culture,” 169; Shoemaker,</w:t>
      </w:r>
      <w:r>
        <w:rPr>
          <w:i/>
          <w:sz w:val="20"/>
          <w:szCs w:val="20"/>
        </w:rPr>
        <w:t xml:space="preserve"> Gender in English Society</w:t>
      </w:r>
      <w:r>
        <w:rPr>
          <w:sz w:val="20"/>
          <w:szCs w:val="20"/>
        </w:rPr>
        <w:t>: 61-62.</w:t>
      </w:r>
    </w:p>
  </w:footnote>
  <w:footnote w:id="65">
    <w:p w14:paraId="000000A3" w14:textId="77777777" w:rsidR="00DD44A3" w:rsidRDefault="00E7744B">
      <w:pPr>
        <w:spacing w:line="240" w:lineRule="auto"/>
        <w:rPr>
          <w:sz w:val="20"/>
          <w:szCs w:val="20"/>
        </w:rPr>
      </w:pPr>
      <w:r>
        <w:rPr>
          <w:vertAlign w:val="superscript"/>
        </w:rPr>
        <w:footnoteRef/>
      </w:r>
      <w:r>
        <w:rPr>
          <w:sz w:val="20"/>
          <w:szCs w:val="20"/>
        </w:rPr>
        <w:t xml:space="preserve"> Jones and Stallybrass, “Of Busks and Bodies,” 269.</w:t>
      </w:r>
    </w:p>
  </w:footnote>
  <w:footnote w:id="66">
    <w:p w14:paraId="0000005C" w14:textId="77777777" w:rsidR="00DD44A3" w:rsidRDefault="00E7744B">
      <w:pPr>
        <w:spacing w:line="240" w:lineRule="auto"/>
        <w:rPr>
          <w:sz w:val="20"/>
          <w:szCs w:val="20"/>
        </w:rPr>
      </w:pPr>
      <w:r>
        <w:rPr>
          <w:vertAlign w:val="superscript"/>
        </w:rPr>
        <w:footnoteRef/>
      </w:r>
      <w:r>
        <w:rPr>
          <w:sz w:val="20"/>
          <w:szCs w:val="20"/>
        </w:rPr>
        <w:t xml:space="preserve"> Jones and Stallybrass, “Of Busks an</w:t>
      </w:r>
      <w:r>
        <w:rPr>
          <w:sz w:val="20"/>
          <w:szCs w:val="20"/>
        </w:rPr>
        <w:t>d Bodies,” 269.</w:t>
      </w:r>
    </w:p>
  </w:footnote>
  <w:footnote w:id="67">
    <w:p w14:paraId="00000075" w14:textId="77777777" w:rsidR="00DD44A3" w:rsidRDefault="00E7744B">
      <w:pPr>
        <w:spacing w:line="240" w:lineRule="auto"/>
        <w:rPr>
          <w:sz w:val="20"/>
          <w:szCs w:val="20"/>
        </w:rPr>
      </w:pPr>
      <w:r>
        <w:rPr>
          <w:vertAlign w:val="superscript"/>
        </w:rPr>
        <w:footnoteRef/>
      </w:r>
      <w:r>
        <w:rPr>
          <w:sz w:val="20"/>
          <w:szCs w:val="20"/>
        </w:rPr>
        <w:t xml:space="preserve"> Jones and Stallybrass, “Of Busks and Bodies,” 262.</w:t>
      </w:r>
    </w:p>
  </w:footnote>
  <w:footnote w:id="68">
    <w:p w14:paraId="0000005D" w14:textId="77777777" w:rsidR="00DD44A3" w:rsidRDefault="00E7744B">
      <w:pPr>
        <w:spacing w:line="240" w:lineRule="auto"/>
        <w:rPr>
          <w:sz w:val="20"/>
          <w:szCs w:val="20"/>
        </w:rPr>
      </w:pPr>
      <w:r>
        <w:rPr>
          <w:vertAlign w:val="superscript"/>
        </w:rPr>
        <w:footnoteRef/>
      </w:r>
      <w:r>
        <w:rPr>
          <w:sz w:val="20"/>
          <w:szCs w:val="20"/>
        </w:rPr>
        <w:t xml:space="preserve"> Natasha Korda, “Sex, Starch-Houses, and Poking Sticks: Alien Women’s Work and the Technologies of Material Culture,” </w:t>
      </w:r>
      <w:r>
        <w:rPr>
          <w:i/>
          <w:sz w:val="20"/>
          <w:szCs w:val="20"/>
        </w:rPr>
        <w:t>Early Modern Women</w:t>
      </w:r>
      <w:r>
        <w:rPr>
          <w:sz w:val="20"/>
          <w:szCs w:val="20"/>
        </w:rPr>
        <w:t xml:space="preserve"> 5 (October 1, 2010): 203, https://www.jstor.org/stable/23541509. </w:t>
      </w:r>
    </w:p>
  </w:footnote>
  <w:footnote w:id="69">
    <w:p w14:paraId="0000005E" w14:textId="77777777" w:rsidR="00DD44A3" w:rsidRDefault="00E7744B">
      <w:pPr>
        <w:spacing w:line="240" w:lineRule="auto"/>
        <w:rPr>
          <w:sz w:val="20"/>
          <w:szCs w:val="20"/>
        </w:rPr>
      </w:pPr>
      <w:r>
        <w:rPr>
          <w:vertAlign w:val="superscript"/>
        </w:rPr>
        <w:footnoteRef/>
      </w:r>
      <w:r>
        <w:rPr>
          <w:sz w:val="20"/>
          <w:szCs w:val="20"/>
        </w:rPr>
        <w:t xml:space="preserve"> Korda, “Sex, Starch-Houses, and Poking Sticks,” 206.</w:t>
      </w:r>
    </w:p>
  </w:footnote>
  <w:footnote w:id="70">
    <w:p w14:paraId="00000092" w14:textId="77777777" w:rsidR="00DD44A3" w:rsidRDefault="00E7744B">
      <w:pPr>
        <w:spacing w:line="240" w:lineRule="auto"/>
        <w:rPr>
          <w:sz w:val="20"/>
          <w:szCs w:val="20"/>
        </w:rPr>
      </w:pPr>
      <w:r>
        <w:rPr>
          <w:vertAlign w:val="superscript"/>
        </w:rPr>
        <w:footnoteRef/>
      </w:r>
      <w:r>
        <w:rPr>
          <w:sz w:val="20"/>
          <w:szCs w:val="20"/>
        </w:rPr>
        <w:t xml:space="preserve"> Mirabella,  </w:t>
      </w:r>
      <w:r>
        <w:rPr>
          <w:i/>
          <w:sz w:val="20"/>
          <w:szCs w:val="20"/>
        </w:rPr>
        <w:t>Ornamentalism</w:t>
      </w:r>
      <w:r>
        <w:rPr>
          <w:sz w:val="20"/>
          <w:szCs w:val="20"/>
        </w:rPr>
        <w:t xml:space="preserve">, 134-135; Poitevin “Inventing Whiteness,” 61. </w:t>
      </w:r>
    </w:p>
  </w:footnote>
  <w:footnote w:id="71">
    <w:p w14:paraId="0000005F" w14:textId="77777777" w:rsidR="00DD44A3" w:rsidRDefault="00E7744B">
      <w:pPr>
        <w:spacing w:line="240" w:lineRule="auto"/>
        <w:rPr>
          <w:sz w:val="20"/>
          <w:szCs w:val="20"/>
        </w:rPr>
      </w:pPr>
      <w:r>
        <w:rPr>
          <w:vertAlign w:val="superscript"/>
        </w:rPr>
        <w:footnoteRef/>
      </w:r>
      <w:r>
        <w:rPr>
          <w:sz w:val="20"/>
          <w:szCs w:val="20"/>
        </w:rPr>
        <w:t xml:space="preserve"> Mirabella,  </w:t>
      </w:r>
      <w:r>
        <w:rPr>
          <w:i/>
          <w:sz w:val="20"/>
          <w:szCs w:val="20"/>
        </w:rPr>
        <w:t>Ornamentalism</w:t>
      </w:r>
      <w:r>
        <w:rPr>
          <w:sz w:val="20"/>
          <w:szCs w:val="20"/>
        </w:rPr>
        <w:t>, 134-135.</w:t>
      </w:r>
    </w:p>
  </w:footnote>
  <w:footnote w:id="72">
    <w:p w14:paraId="00000093" w14:textId="77777777" w:rsidR="00DD44A3" w:rsidRDefault="00E7744B">
      <w:pPr>
        <w:spacing w:line="240" w:lineRule="auto"/>
        <w:rPr>
          <w:sz w:val="20"/>
          <w:szCs w:val="20"/>
        </w:rPr>
      </w:pPr>
      <w:r>
        <w:rPr>
          <w:vertAlign w:val="superscript"/>
        </w:rPr>
        <w:footnoteRef/>
      </w:r>
      <w:r>
        <w:rPr>
          <w:sz w:val="20"/>
          <w:szCs w:val="20"/>
        </w:rPr>
        <w:t xml:space="preserve"> Jones and Stallybrass, </w:t>
      </w:r>
      <w:r>
        <w:rPr>
          <w:i/>
          <w:sz w:val="20"/>
          <w:szCs w:val="20"/>
        </w:rPr>
        <w:t>Materials of</w:t>
      </w:r>
      <w:r>
        <w:rPr>
          <w:i/>
          <w:sz w:val="20"/>
          <w:szCs w:val="20"/>
        </w:rPr>
        <w:t xml:space="preserve"> Memory,</w:t>
      </w:r>
      <w:r>
        <w:rPr>
          <w:sz w:val="20"/>
          <w:szCs w:val="20"/>
        </w:rPr>
        <w:t xml:space="preserve"> 2.</w:t>
      </w:r>
    </w:p>
  </w:footnote>
  <w:footnote w:id="73">
    <w:p w14:paraId="00000074" w14:textId="77777777" w:rsidR="00DD44A3" w:rsidRDefault="00E7744B">
      <w:pPr>
        <w:spacing w:line="240" w:lineRule="auto"/>
        <w:rPr>
          <w:sz w:val="20"/>
          <w:szCs w:val="20"/>
        </w:rPr>
      </w:pPr>
      <w:r>
        <w:rPr>
          <w:vertAlign w:val="superscript"/>
        </w:rPr>
        <w:footnoteRef/>
      </w:r>
      <w:r>
        <w:rPr>
          <w:sz w:val="20"/>
          <w:szCs w:val="20"/>
        </w:rPr>
        <w:t xml:space="preserve"> Feinstein, “The Busk Between,” 62.</w:t>
      </w:r>
    </w:p>
  </w:footnote>
  <w:footnote w:id="74">
    <w:p w14:paraId="00000060" w14:textId="77777777" w:rsidR="00DD44A3" w:rsidRDefault="00E7744B">
      <w:pPr>
        <w:spacing w:line="240" w:lineRule="auto"/>
        <w:rPr>
          <w:b/>
          <w:sz w:val="20"/>
          <w:szCs w:val="20"/>
        </w:rPr>
      </w:pPr>
      <w:r>
        <w:rPr>
          <w:vertAlign w:val="superscript"/>
        </w:rPr>
        <w:footnoteRef/>
      </w:r>
      <w:r>
        <w:rPr>
          <w:sz w:val="20"/>
          <w:szCs w:val="20"/>
        </w:rPr>
        <w:t xml:space="preserve"> Bendall, “To Write a Distick,” 207</w:t>
      </w:r>
    </w:p>
  </w:footnote>
  <w:footnote w:id="75">
    <w:p w14:paraId="00000061" w14:textId="77777777" w:rsidR="00DD44A3" w:rsidRDefault="00E7744B">
      <w:pPr>
        <w:spacing w:line="240" w:lineRule="auto"/>
        <w:rPr>
          <w:sz w:val="20"/>
          <w:szCs w:val="20"/>
        </w:rPr>
      </w:pPr>
      <w:r>
        <w:rPr>
          <w:vertAlign w:val="superscript"/>
        </w:rPr>
        <w:footnoteRef/>
      </w:r>
      <w:r>
        <w:rPr>
          <w:sz w:val="20"/>
          <w:szCs w:val="20"/>
        </w:rPr>
        <w:t xml:space="preserve"> Bendall, “To Write a Distick,” 207</w:t>
      </w:r>
    </w:p>
  </w:footnote>
  <w:footnote w:id="76">
    <w:p w14:paraId="00000062" w14:textId="77777777" w:rsidR="00DD44A3" w:rsidRDefault="00E7744B">
      <w:pPr>
        <w:spacing w:line="240" w:lineRule="auto"/>
        <w:rPr>
          <w:sz w:val="20"/>
          <w:szCs w:val="20"/>
        </w:rPr>
      </w:pPr>
      <w:r>
        <w:rPr>
          <w:vertAlign w:val="superscript"/>
        </w:rPr>
        <w:footnoteRef/>
      </w:r>
      <w:r>
        <w:rPr>
          <w:sz w:val="20"/>
          <w:szCs w:val="20"/>
        </w:rPr>
        <w:t xml:space="preserve"> Jones and Stallybrass, “Of Busks and Bodies,” 263.</w:t>
      </w:r>
    </w:p>
  </w:footnote>
  <w:footnote w:id="77">
    <w:p w14:paraId="00000063" w14:textId="77777777" w:rsidR="00DD44A3" w:rsidRDefault="00E7744B">
      <w:pPr>
        <w:spacing w:line="240" w:lineRule="auto"/>
        <w:rPr>
          <w:sz w:val="20"/>
          <w:szCs w:val="20"/>
        </w:rPr>
      </w:pPr>
      <w:r>
        <w:rPr>
          <w:vertAlign w:val="superscript"/>
        </w:rPr>
        <w:footnoteRef/>
      </w:r>
      <w:r>
        <w:rPr>
          <w:sz w:val="20"/>
          <w:szCs w:val="20"/>
        </w:rPr>
        <w:t xml:space="preserve"> Bendall, “To Write a Distick,” 207.</w:t>
      </w:r>
    </w:p>
  </w:footnote>
  <w:footnote w:id="78">
    <w:p w14:paraId="00000064" w14:textId="77777777" w:rsidR="00DD44A3" w:rsidRDefault="00E7744B">
      <w:pPr>
        <w:spacing w:line="240" w:lineRule="auto"/>
        <w:rPr>
          <w:sz w:val="20"/>
          <w:szCs w:val="20"/>
        </w:rPr>
      </w:pPr>
      <w:r>
        <w:rPr>
          <w:vertAlign w:val="superscript"/>
        </w:rPr>
        <w:footnoteRef/>
      </w:r>
      <w:r>
        <w:rPr>
          <w:sz w:val="20"/>
          <w:szCs w:val="20"/>
        </w:rPr>
        <w:t xml:space="preserve"> Bendall, “To Write a Distick,” 207.</w:t>
      </w:r>
    </w:p>
  </w:footnote>
  <w:footnote w:id="79">
    <w:p w14:paraId="00000065" w14:textId="77777777" w:rsidR="00DD44A3" w:rsidRDefault="00E7744B">
      <w:pPr>
        <w:spacing w:line="240" w:lineRule="auto"/>
        <w:rPr>
          <w:sz w:val="20"/>
          <w:szCs w:val="20"/>
        </w:rPr>
      </w:pPr>
      <w:r>
        <w:rPr>
          <w:vertAlign w:val="superscript"/>
        </w:rPr>
        <w:footnoteRef/>
      </w:r>
      <w:r>
        <w:rPr>
          <w:sz w:val="20"/>
          <w:szCs w:val="20"/>
        </w:rPr>
        <w:t xml:space="preserve"> Korda, “Sex, Starch-Houses, and Poking Sticks,”  203.</w:t>
      </w:r>
    </w:p>
  </w:footnote>
  <w:footnote w:id="80">
    <w:p w14:paraId="00000097" w14:textId="77777777" w:rsidR="00DD44A3" w:rsidRDefault="00E7744B">
      <w:pPr>
        <w:spacing w:line="240" w:lineRule="auto"/>
        <w:rPr>
          <w:sz w:val="20"/>
          <w:szCs w:val="20"/>
        </w:rPr>
      </w:pPr>
      <w:r>
        <w:rPr>
          <w:vertAlign w:val="superscript"/>
        </w:rPr>
        <w:footnoteRef/>
      </w:r>
      <w:r>
        <w:rPr>
          <w:sz w:val="20"/>
          <w:szCs w:val="20"/>
        </w:rPr>
        <w:t xml:space="preserve"> Sarah Bendall “Take Measure”, 721.</w:t>
      </w:r>
    </w:p>
  </w:footnote>
  <w:footnote w:id="81">
    <w:p w14:paraId="00000078" w14:textId="77777777" w:rsidR="00DD44A3" w:rsidRDefault="00E7744B">
      <w:pPr>
        <w:spacing w:line="240" w:lineRule="auto"/>
        <w:rPr>
          <w:sz w:val="20"/>
          <w:szCs w:val="20"/>
        </w:rPr>
      </w:pPr>
      <w:r>
        <w:rPr>
          <w:vertAlign w:val="superscript"/>
        </w:rPr>
        <w:footnoteRef/>
      </w:r>
      <w:r>
        <w:rPr>
          <w:sz w:val="20"/>
          <w:szCs w:val="20"/>
        </w:rPr>
        <w:t xml:space="preserve"> Jones and Stallybrass, </w:t>
      </w:r>
      <w:r>
        <w:rPr>
          <w:i/>
          <w:sz w:val="20"/>
          <w:szCs w:val="20"/>
        </w:rPr>
        <w:t>Materials of Memory,</w:t>
      </w:r>
      <w:r>
        <w:rPr>
          <w:sz w:val="20"/>
          <w:szCs w:val="20"/>
        </w:rPr>
        <w:t xml:space="preserve"> 2.</w:t>
      </w:r>
    </w:p>
  </w:footnote>
  <w:footnote w:id="82">
    <w:p w14:paraId="00000076" w14:textId="77777777" w:rsidR="00DD44A3" w:rsidRDefault="00E7744B">
      <w:pPr>
        <w:rPr>
          <w:sz w:val="20"/>
          <w:szCs w:val="20"/>
        </w:rPr>
      </w:pPr>
      <w:r>
        <w:rPr>
          <w:vertAlign w:val="superscript"/>
        </w:rPr>
        <w:footnoteRef/>
      </w:r>
      <w:r>
        <w:rPr>
          <w:sz w:val="20"/>
          <w:szCs w:val="20"/>
        </w:rPr>
        <w:t xml:space="preserve"> Poitevin, “Inventing Whiteness,” 82; Sarah Bendall “Take Measure”, 713; Mirabella, </w:t>
      </w:r>
      <w:r>
        <w:rPr>
          <w:i/>
          <w:sz w:val="20"/>
          <w:szCs w:val="20"/>
        </w:rPr>
        <w:t>Ornamentalism</w:t>
      </w:r>
      <w:r>
        <w:rPr>
          <w:sz w:val="20"/>
          <w:szCs w:val="20"/>
        </w:rPr>
        <w:t>, 3.</w:t>
      </w:r>
    </w:p>
  </w:footnote>
  <w:footnote w:id="83">
    <w:p w14:paraId="00000069" w14:textId="77777777" w:rsidR="00DD44A3" w:rsidRDefault="00E7744B">
      <w:pPr>
        <w:spacing w:line="240" w:lineRule="auto"/>
        <w:rPr>
          <w:sz w:val="20"/>
          <w:szCs w:val="20"/>
        </w:rPr>
      </w:pPr>
      <w:r>
        <w:rPr>
          <w:vertAlign w:val="superscript"/>
        </w:rPr>
        <w:footnoteRef/>
      </w:r>
      <w:r>
        <w:rPr>
          <w:sz w:val="20"/>
          <w:szCs w:val="20"/>
        </w:rPr>
        <w:t xml:space="preserve"> Blonde &amp; Sturewagen,</w:t>
      </w:r>
      <w:r>
        <w:rPr>
          <w:i/>
          <w:sz w:val="20"/>
          <w:szCs w:val="20"/>
        </w:rPr>
        <w:t xml:space="preserve"> The R</w:t>
      </w:r>
      <w:r>
        <w:rPr>
          <w:i/>
          <w:sz w:val="20"/>
          <w:szCs w:val="20"/>
        </w:rPr>
        <w:t>ight to Dress </w:t>
      </w:r>
      <w:r>
        <w:rPr>
          <w:sz w:val="20"/>
          <w:szCs w:val="20"/>
        </w:rPr>
        <w:t>, 74-75.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4A3"/>
    <w:rsid w:val="001C1A3F"/>
    <w:rsid w:val="00DD44A3"/>
    <w:rsid w:val="00E774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26554A-AA9C-4720-8338-8247D0A6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3777</Words>
  <Characters>21532</Characters>
  <Application>Microsoft Office Word</Application>
  <DocSecurity>0</DocSecurity>
  <Lines>179</Lines>
  <Paragraphs>50</Paragraphs>
  <ScaleCrop>false</ScaleCrop>
  <Company/>
  <LinksUpToDate>false</LinksUpToDate>
  <CharactersWithSpaces>25259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 Miller</cp:lastModifiedBy>
  <cp:revision>2</cp:revision>
  <dcterms:created xsi:type="dcterms:W3CDTF">2022-01-27T04:14:00Z</dcterms:created>
  <dcterms:modified xsi:type="dcterms:W3CDTF">2022-01-27T04:14:00Z</dcterms:modified>
</cp:coreProperties>
</file>