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94602" w14:textId="77777777" w:rsidR="00EE7861" w:rsidRDefault="00EE7861">
      <w:pPr>
        <w:spacing w:after="160" w:line="480" w:lineRule="auto"/>
        <w:ind w:left="720" w:firstLine="720"/>
        <w:jc w:val="center"/>
      </w:pPr>
    </w:p>
    <w:p w14:paraId="2CDFAC78" w14:textId="77777777" w:rsidR="00EE7861" w:rsidRDefault="00EE7861">
      <w:pPr>
        <w:spacing w:after="160" w:line="480" w:lineRule="auto"/>
        <w:jc w:val="center"/>
      </w:pPr>
    </w:p>
    <w:p w14:paraId="1BE84718" w14:textId="77777777" w:rsidR="00EE7861" w:rsidRDefault="00EE7861">
      <w:pPr>
        <w:spacing w:after="160" w:line="480" w:lineRule="auto"/>
        <w:jc w:val="center"/>
      </w:pPr>
    </w:p>
    <w:p w14:paraId="38FC32D8" w14:textId="77777777" w:rsidR="00EE7861" w:rsidRDefault="00EE7861">
      <w:pPr>
        <w:spacing w:after="160" w:line="480" w:lineRule="auto"/>
        <w:jc w:val="center"/>
      </w:pPr>
    </w:p>
    <w:p w14:paraId="3E375B1D" w14:textId="77777777" w:rsidR="00EE7861" w:rsidRDefault="00EE7861">
      <w:pPr>
        <w:spacing w:after="160" w:line="480" w:lineRule="auto"/>
        <w:jc w:val="center"/>
      </w:pPr>
    </w:p>
    <w:p w14:paraId="6CAF4EC9" w14:textId="77777777" w:rsidR="00EE7861" w:rsidRDefault="00EE7861">
      <w:pPr>
        <w:spacing w:after="160" w:line="480" w:lineRule="auto"/>
      </w:pPr>
    </w:p>
    <w:p w14:paraId="1C6E5A66" w14:textId="77777777" w:rsidR="00EE7861" w:rsidRDefault="00EE7861">
      <w:pPr>
        <w:spacing w:after="160" w:line="480" w:lineRule="auto"/>
      </w:pPr>
    </w:p>
    <w:p w14:paraId="508ECBC0" w14:textId="77777777" w:rsidR="00EE7861" w:rsidRDefault="00000000">
      <w:pPr>
        <w:spacing w:line="480" w:lineRule="auto"/>
        <w:jc w:val="center"/>
      </w:pPr>
      <w:r>
        <w:t>Harvesting Prestige: The Elite Romanticization of Agricultural Labour in Roman Mosaics</w:t>
      </w:r>
    </w:p>
    <w:p w14:paraId="112B76A5" w14:textId="77777777" w:rsidR="00EE7861" w:rsidRDefault="00000000">
      <w:pPr>
        <w:spacing w:after="160" w:line="480" w:lineRule="auto"/>
        <w:jc w:val="center"/>
      </w:pPr>
      <w:r>
        <w:t>Beckett Burdinsky</w:t>
      </w:r>
    </w:p>
    <w:p w14:paraId="4B734F03" w14:textId="77777777" w:rsidR="00EE7861" w:rsidRDefault="00EE7861">
      <w:pPr>
        <w:spacing w:after="160" w:line="480" w:lineRule="auto"/>
        <w:ind w:firstLine="720"/>
      </w:pPr>
    </w:p>
    <w:p w14:paraId="21AB1356" w14:textId="77777777" w:rsidR="00EE7861" w:rsidRDefault="00EE7861">
      <w:pPr>
        <w:spacing w:after="160" w:line="480" w:lineRule="auto"/>
        <w:ind w:firstLine="720"/>
      </w:pPr>
    </w:p>
    <w:p w14:paraId="3B119DA3" w14:textId="77777777" w:rsidR="00EE7861" w:rsidRDefault="00EE7861">
      <w:pPr>
        <w:spacing w:after="160" w:line="480" w:lineRule="auto"/>
      </w:pPr>
    </w:p>
    <w:p w14:paraId="2DD9566D" w14:textId="77777777" w:rsidR="00EE7861" w:rsidRDefault="00EE7861">
      <w:pPr>
        <w:spacing w:line="480" w:lineRule="auto"/>
      </w:pPr>
    </w:p>
    <w:p w14:paraId="05D54FC5" w14:textId="77777777" w:rsidR="00EE7861" w:rsidRDefault="00000000">
      <w:pPr>
        <w:spacing w:line="480" w:lineRule="auto"/>
      </w:pPr>
      <w:r>
        <w:br w:type="page"/>
      </w:r>
    </w:p>
    <w:p w14:paraId="6361E692" w14:textId="77777777" w:rsidR="00EE7861" w:rsidRDefault="00000000">
      <w:pPr>
        <w:spacing w:line="480" w:lineRule="auto"/>
      </w:pPr>
      <w:r>
        <w:lastRenderedPageBreak/>
        <w:tab/>
        <w:t>Mosaics in the ancient Roman world were more than mere decoration; they served as sophisticated tools to reflect the ideas and social standing of the commissioner. On agricultural properties, mosaics can be found depicting scenes of labour with an air of idealization that speaks to the cultural and societal values of the elites. Despite not doing the physical work themselves, the Roman elites viewed agriculture as the most noble of pursuits, embodying virtues such as abundance and productivity. Cicero declared that "of all the occupations by which gain is secured, none is better than agriculture, none more profitable, none more delightful, none more becoming to a freeman,"</w:t>
      </w:r>
      <w:r>
        <w:rPr>
          <w:vertAlign w:val="superscript"/>
        </w:rPr>
        <w:footnoteReference w:id="1"/>
      </w:r>
      <w:r>
        <w:t xml:space="preserve"> an idea that is reflected in mosaics of abundant vineyards and fields of plentiful golden grain, as well as workers taking part in crop cultivation, production of wine, and the upkeep of these bountiful properties. The elites wanted to connect their social status with the prosperity of the land; the more bountiful the crop, the greater than landowner's prestige.</w:t>
      </w:r>
    </w:p>
    <w:p w14:paraId="3DD75D1C" w14:textId="01EA85BE" w:rsidR="00EE7861" w:rsidRDefault="00000000">
      <w:pPr>
        <w:spacing w:line="480" w:lineRule="auto"/>
      </w:pPr>
      <w:r>
        <w:tab/>
        <w:t>This paper will adopt a case study approach, analy</w:t>
      </w:r>
      <w:r w:rsidR="00EC6859">
        <w:t>z</w:t>
      </w:r>
      <w:r>
        <w:t>ing specific mosaics from across the Roman empire depicting viticulture, the cultivation of grapes, and graniculture, the growth of wheat, to explore how these idyllic depictions of farming were designed to communicate particular ideas of prestige and control for the property owner. These pieces will be compared with primary literature from Cato the Elder, Virgil, and Columella to further understand the elites' perspectives on the subject. By examining these pieces in the context of the literary evidence, this study argues that the romanticization of agriculture in Roman mosaics allowed the elites to construct a vision of themselves as successful stewards of agriculture and production, bolstering their own status with the abundance of the land.</w:t>
      </w:r>
    </w:p>
    <w:p w14:paraId="0A1BCE7F" w14:textId="314DD989" w:rsidR="00EE7861" w:rsidRDefault="00000000">
      <w:pPr>
        <w:spacing w:line="480" w:lineRule="auto"/>
      </w:pPr>
      <w:r>
        <w:lastRenderedPageBreak/>
        <w:tab/>
        <w:t xml:space="preserve">The secondary scholarship consulted throughout this paper draws on established experts whose work significantly shapes our current understanding of Roman visual culture, agriculture, and symbolism. Katherine Dunbabin, whose </w:t>
      </w:r>
      <w:r>
        <w:rPr>
          <w:i/>
          <w:iCs/>
        </w:rPr>
        <w:t>Mosaics of the Greek and Roman World</w:t>
      </w:r>
      <w:r>
        <w:t xml:space="preserve"> remains a foundation source for mosaic studies, was a leading classical archaeologist at McMaster University. Her work is trusted precisely because it synthesizes decades of excavation reports, stylistic studies, and </w:t>
      </w:r>
      <w:proofErr w:type="spellStart"/>
      <w:r>
        <w:t>sociohistoric</w:t>
      </w:r>
      <w:proofErr w:type="spellEnd"/>
      <w:r>
        <w:t xml:space="preserve"> interpretations, making her conclusions about elite self-representation deeply influential. Tracey Eckersley, in her MA thesis, contributes a tightly focused regional study of vintage iconography in Spain and North Africa. Her work is cited for how she draws extensively on primary archaeological corpora and situates her analysis within broader debates about realism and idealism in rural imagery. Kilian Mallon is a contemporary Roman archaeologist whose 2021 article in the </w:t>
      </w:r>
      <w:r>
        <w:rPr>
          <w:i/>
          <w:iCs/>
        </w:rPr>
        <w:t xml:space="preserve">Theoretical Roman Archaeology Journal </w:t>
      </w:r>
      <w:r>
        <w:t>reflects current approaches influenced by landscape theory and phenomenology. His concept of "</w:t>
      </w:r>
      <w:proofErr w:type="spellStart"/>
      <w:r>
        <w:t>taskscapes</w:t>
      </w:r>
      <w:proofErr w:type="spellEnd"/>
      <w:r>
        <w:t>" is firmly grounded in both theory and well-documented mosaic examples. The sources concerning agricultural practi</w:t>
      </w:r>
      <w:r w:rsidR="00EC6859">
        <w:t>c</w:t>
      </w:r>
      <w:r>
        <w:t xml:space="preserve">e similarly emerge from scholars whose authority is rooted in long-standing study of agronomy and material culture. Kenneth White is a historian of Roman technology, and his </w:t>
      </w:r>
      <w:r>
        <w:rPr>
          <w:i/>
          <w:iCs/>
        </w:rPr>
        <w:t>Agricultural Implements of the Roman World</w:t>
      </w:r>
      <w:r>
        <w:t xml:space="preserve"> is respected for its systematic examination of tools grounded in archaeological typologies and comparative design analyses. Stephen Spurr, author of the "Agricultural Writers" entry in the </w:t>
      </w:r>
      <w:r>
        <w:rPr>
          <w:i/>
          <w:iCs/>
        </w:rPr>
        <w:t>Oxford Classical Dictionary</w:t>
      </w:r>
      <w:r>
        <w:t>, is a recogni</w:t>
      </w:r>
      <w:r w:rsidR="001143DC">
        <w:t>z</w:t>
      </w:r>
      <w:r>
        <w:t xml:space="preserve">ed authority on Latin agronomic literature. The article by Savo et. al. reflects on different disciplinary angle, </w:t>
      </w:r>
      <w:proofErr w:type="spellStart"/>
      <w:r>
        <w:t>archaeobotany</w:t>
      </w:r>
      <w:proofErr w:type="spellEnd"/>
      <w:r>
        <w:t xml:space="preserve">, bringing scientifically grounded expertise to interpretations of grapevine symbolism. Their work is valued for the way it links cultural meaning to practical cultivation patterns. </w:t>
      </w:r>
    </w:p>
    <w:p w14:paraId="67CD9103" w14:textId="77777777" w:rsidR="00EE7861" w:rsidRDefault="00000000">
      <w:pPr>
        <w:spacing w:line="480" w:lineRule="auto"/>
      </w:pPr>
      <w:r>
        <w:lastRenderedPageBreak/>
        <w:tab/>
        <w:t xml:space="preserve">The selective vision of rural life reflects the broader sociopolitical environment inhabited by the Roman elite, whose economic power and cultural authority were deeply tied to landownership. Elite authors such as Cicero consistently framed agriculture as the most dignified of pursuits, and a moral foundation for political leadership and social prestige. Yet this ideology depended on the displacement of actual labour onto enslaved and dependent populations, allowing landowners to maintain distance from the physical realities of production while celebrating agricultural wealth as evidence of virtue. Virgil's </w:t>
      </w:r>
      <w:r>
        <w:rPr>
          <w:i/>
          <w:iCs/>
        </w:rPr>
        <w:t>Georgics</w:t>
      </w:r>
      <w:r>
        <w:t>, though more emotionally complex than many elite treatments, transforms farm labour into a poetic landscape of cosmic order and moral instruction, aligning with broader elite interests in projecting stability and control. Mosaics similarly functioned within this ideological field; they decorated elite domestic spaces in ways that advertised cultural sophistication while naturalizing the economic structures that upheld elite status. These artistic programs thus participated in the reproduction of elite identity, presenting an aestheticized countryside that affirmed the landowner's authority and obscured the exploitative systems that sustained it.</w:t>
      </w:r>
    </w:p>
    <w:p w14:paraId="544106BE" w14:textId="49C2337A" w:rsidR="00EE7861" w:rsidRDefault="00000000">
      <w:pPr>
        <w:spacing w:line="480" w:lineRule="auto"/>
      </w:pPr>
      <w:r>
        <w:tab/>
        <w:t xml:space="preserve">Cato the Elder's </w:t>
      </w:r>
      <w:r>
        <w:rPr>
          <w:i/>
          <w:iCs/>
        </w:rPr>
        <w:t>De Agri Cultura</w:t>
      </w:r>
      <w:r>
        <w:t xml:space="preserve"> provides one of the earliest guides </w:t>
      </w:r>
      <w:r w:rsidR="001143DC">
        <w:t>to</w:t>
      </w:r>
      <w:r>
        <w:t xml:space="preserve"> agricultural practi</w:t>
      </w:r>
      <w:r w:rsidR="001143DC">
        <w:t>c</w:t>
      </w:r>
      <w:r>
        <w:t>e in Rome, reflecting how land ownership and management were seen as a duty to the elites. Cato writes "When you decide to purchase a farm, be careful not to buy recklessly; weigh every factor thoroughly."</w:t>
      </w:r>
      <w:r>
        <w:rPr>
          <w:vertAlign w:val="superscript"/>
        </w:rPr>
        <w:footnoteReference w:id="2"/>
      </w:r>
      <w:r>
        <w:t xml:space="preserve"> To the Roman view, purchasing and owning land was a vital investment. By presenting agriculture as the ideal of economic stability and virtue, Cato frames the landowners as the pillar of society. Virgil's </w:t>
      </w:r>
      <w:r>
        <w:rPr>
          <w:i/>
          <w:iCs/>
        </w:rPr>
        <w:t>Georgics</w:t>
      </w:r>
      <w:r>
        <w:t xml:space="preserve"> expands on Cato, blending poetic idealism with advice. Virgil celebrates the harmony between man and nature, depicting the farmer as the epicenter of happiness and virtue: "Happy is he who knows the country gods, Pan </w:t>
      </w:r>
      <w:r>
        <w:lastRenderedPageBreak/>
        <w:t>and old Silvanus, and keeps them on his side by annual offerings of grain and humble wreaths of flowers."</w:t>
      </w:r>
      <w:r>
        <w:rPr>
          <w:vertAlign w:val="superscript"/>
        </w:rPr>
        <w:footnoteReference w:id="3"/>
      </w:r>
      <w:r>
        <w:t xml:space="preserve"> Virgil explicitly idealizes rural labour throughout the </w:t>
      </w:r>
      <w:r>
        <w:rPr>
          <w:i/>
          <w:iCs/>
        </w:rPr>
        <w:t>Georgics</w:t>
      </w:r>
      <w:r>
        <w:t>. His celebration served the political purpose of reinforcing elite dominance over land and labour by glorifying the realities of the hard work performed by workers, often enslaved or hired.</w:t>
      </w:r>
    </w:p>
    <w:p w14:paraId="5DAC7B04" w14:textId="77777777" w:rsidR="00EE7861" w:rsidRDefault="00000000">
      <w:pPr>
        <w:spacing w:line="480" w:lineRule="auto"/>
      </w:pPr>
      <w:r>
        <w:tab/>
        <w:t>The imagery in the mosaic case studies echoes these literary ideals presented by elite authors, portraying agriculture as a harmonious and virtuous pursuit. In fact, it was believed that agriculture was one of the only acceptable ways for an elite male to make a living. By situating themselves within the romanticized narrative constructed through art, the Roman elites could present themselves as people whose wealth and power were intimately tied to their land and its abundance.</w:t>
      </w:r>
    </w:p>
    <w:p w14:paraId="3CF83A0C" w14:textId="6A643D81" w:rsidR="00EE7861" w:rsidRDefault="00000000">
      <w:pPr>
        <w:spacing w:line="480" w:lineRule="auto"/>
      </w:pPr>
      <w:r>
        <w:tab/>
        <w:t xml:space="preserve">The concept of </w:t>
      </w:r>
      <w:proofErr w:type="spellStart"/>
      <w:r>
        <w:t>taskscapes</w:t>
      </w:r>
      <w:proofErr w:type="spellEnd"/>
      <w:r>
        <w:t xml:space="preserve"> developed by Kilian Mallon offers a productive framework for examining how Roman mosaics construct narratives of agricultural labour. Adapting Tim Ingold's anthropological theory, Mallon argues that mosaics represent not only landscapes but the interrelated activities that constitute them, producing an imagined environment shaped by elite perspectives.</w:t>
      </w:r>
      <w:r>
        <w:rPr>
          <w:vertAlign w:val="superscript"/>
        </w:rPr>
        <w:footnoteReference w:id="4"/>
      </w:r>
      <w:r>
        <w:t xml:space="preserve"> Because Mallon's work draws on a broad corpus of mosaics across the Roman world and is grounded in established theoretical approaches, his analysis provides a credible, though necessarily interpretive, lens for understanding the ideological functions of these images. In elite domestic context, scenes of labour are typically idealized; workers appear serene, orderly, and engaged in harmonious tasks — a striking contrast to the harsh, complex realities of agricultural work performed by enslaved and dependent labourers. </w:t>
      </w:r>
    </w:p>
    <w:p w14:paraId="19D79FED" w14:textId="77777777" w:rsidR="00EE7861" w:rsidRDefault="00000000">
      <w:pPr>
        <w:spacing w:line="480" w:lineRule="auto"/>
      </w:pPr>
      <w:r>
        <w:lastRenderedPageBreak/>
        <w:tab/>
        <w:t>Roman agricultural labour was physically intensive, highly disciplined, and structured around demanding seasonal cycles that contrasted sharply with elite literary and artistic idealizations. Technical writers such as Cato and Columella describe an agricultural regime dependent primarily on enslaved labourers whose days were tightly scheduled and whose movements were closely regulated by estate overseers. Cato specifies that workers should begin before sunrise and remain constantly occupied, emphasizing surveillance, punishment, and the careful allocation of food as tools of labour control — evidence of the coercive framework underpinning Roman farming.</w:t>
      </w:r>
      <w:r>
        <w:rPr>
          <w:vertAlign w:val="superscript"/>
        </w:rPr>
        <w:footnoteReference w:id="5"/>
      </w:r>
      <w:r>
        <w:t xml:space="preserve"> Columella likewise documents the relentless bodily demands of tasks such as ploughing heavy Mediterranean soil, digging irrigation trenches, and maintaining vines and orchards, noting even skilled work such as pruning or grafting required sustained physical strength and specialized knowledge.</w:t>
      </w:r>
      <w:r>
        <w:rPr>
          <w:vertAlign w:val="superscript"/>
        </w:rPr>
        <w:footnoteReference w:id="6"/>
      </w:r>
      <w:r>
        <w:t xml:space="preserve"> Stephen Spurr's overview of agronomic writers highlights that such treatises, though written for elite landowners, inadvertently expose a world in which agricultural productivity relied on "intensive, repetitive, and often exhausting" labour performed by non-elite bodies.</w:t>
      </w:r>
      <w:r>
        <w:rPr>
          <w:vertAlign w:val="superscript"/>
        </w:rPr>
        <w:footnoteReference w:id="7"/>
      </w:r>
    </w:p>
    <w:p w14:paraId="001EF81B" w14:textId="15174C88" w:rsidR="00EE7861" w:rsidRDefault="00000000">
      <w:pPr>
        <w:spacing w:line="480" w:lineRule="auto"/>
      </w:pPr>
      <w:r>
        <w:tab/>
        <w:t>Material evidence and agricultural tools further illuminate the strenuous nature of this work. Kenneth White's study of Roman implements shows that even with technological developments such as improved iron ploughshares and vine-pruning knives, most tasks remained labour heavy, requiring manual force to clear fields and manage extensive agricultural systems.</w:t>
      </w:r>
      <w:r>
        <w:rPr>
          <w:vertAlign w:val="superscript"/>
        </w:rPr>
        <w:footnoteReference w:id="8"/>
      </w:r>
      <w:r>
        <w:t xml:space="preserve"> Viticulture, a frequent subject of idealizing mosaics, demanded year-round exertion. Winter pruning, spring tying and training of shoots, summer maintenance, and finally a harvest that </w:t>
      </w:r>
      <w:r>
        <w:lastRenderedPageBreak/>
        <w:t>involved long hours of cutting bunches, transporting heavy baskets, and treading grapes in vats.</w:t>
      </w:r>
      <w:r>
        <w:rPr>
          <w:vertAlign w:val="superscript"/>
        </w:rPr>
        <w:footnoteReference w:id="9"/>
      </w:r>
      <w:r>
        <w:t xml:space="preserve"> Mosaics of vintage scenes often aestheticize this process, smoothing over the physically punishing and often dangerous aspects of climbing trellises, handling tools, or working in tightly timed group labour.</w:t>
      </w:r>
      <w:r>
        <w:rPr>
          <w:vertAlign w:val="superscript"/>
        </w:rPr>
        <w:footnoteReference w:id="10"/>
      </w:r>
      <w:r>
        <w:t xml:space="preserve"> This closely relates to Mallon's concept of the </w:t>
      </w:r>
      <w:proofErr w:type="spellStart"/>
      <w:r>
        <w:t>taskscape</w:t>
      </w:r>
      <w:proofErr w:type="spellEnd"/>
      <w:r>
        <w:t xml:space="preserve"> to hide the strenuous and messy environments in which these tasks were performed. When juxtaposed with these agronomic and material realities, it becomes clear that Roman farmwork was characterized by labour conditions that were as exploitative as they were essential to the economic foundations of elite life.</w:t>
      </w:r>
    </w:p>
    <w:p w14:paraId="68BF2AE6" w14:textId="0565FAED" w:rsidR="00EE7861" w:rsidRDefault="00000000" w:rsidP="001143DC">
      <w:pPr>
        <w:spacing w:line="480" w:lineRule="auto"/>
        <w:rPr>
          <w:sz w:val="20"/>
          <w:szCs w:val="20"/>
        </w:rPr>
      </w:pPr>
      <w:r>
        <w:tab/>
        <w:t xml:space="preserve">The Grape-Treading mosaic (fig.1) from the House of the Amphitheater in Mérida exemplifies the constructed </w:t>
      </w:r>
      <w:proofErr w:type="spellStart"/>
      <w:r>
        <w:t>taskscape</w:t>
      </w:r>
      <w:proofErr w:type="spellEnd"/>
      <w:r>
        <w:t>. Three men, smiling and clasping hands as they press grapes, stand amid lush vines, overflowing vats, and a peaceful array of birds; a vision of abundance and stability. As Mallon notes, such scenes omit the logistical, physical, and hierarchical structures of real agricultural production, instead presenting a carefully curated image of controlled productivity intended for elite audiences.</w:t>
      </w:r>
      <w:r>
        <w:rPr>
          <w:vertAlign w:val="superscript"/>
        </w:rPr>
        <w:footnoteReference w:id="11"/>
      </w:r>
      <w:r>
        <w:t xml:space="preserve"> Rather than documenting labour as it was lived, the mosaic participates in an ideological project. It visually naturalizes the estate's </w:t>
      </w:r>
      <w:r>
        <w:lastRenderedPageBreak/>
        <w:t xml:space="preserve">prosperity and the landowner's authority. In doing so, it reinforces elite self-presentation while </w:t>
      </w:r>
      <w:r w:rsidR="001143DC">
        <w:rPr>
          <w:noProof/>
        </w:rPr>
        <w:drawing>
          <wp:anchor distT="19050" distB="19050" distL="19050" distR="19050" simplePos="0" relativeHeight="251658240" behindDoc="0" locked="0" layoutInCell="1" hidden="0" allowOverlap="1" wp14:anchorId="67872B8F" wp14:editId="6FE7AE93">
            <wp:simplePos x="0" y="0"/>
            <wp:positionH relativeFrom="margin">
              <wp:posOffset>791127</wp:posOffset>
            </wp:positionH>
            <wp:positionV relativeFrom="margin">
              <wp:posOffset>802833</wp:posOffset>
            </wp:positionV>
            <wp:extent cx="4011613" cy="2721775"/>
            <wp:effectExtent l="0" t="0" r="0" b="0"/>
            <wp:wrapTopAndBottom distT="19050" distB="190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011613" cy="2721775"/>
                    </a:xfrm>
                    <a:prstGeom prst="rect">
                      <a:avLst/>
                    </a:prstGeom>
                    <a:ln/>
                  </pic:spPr>
                </pic:pic>
              </a:graphicData>
            </a:graphic>
          </wp:anchor>
        </w:drawing>
      </w:r>
      <w:r>
        <w:t>obscuring the inequalities and exploitative systems that underpinned that prosperity.</w:t>
      </w:r>
    </w:p>
    <w:p w14:paraId="08DDB02B" w14:textId="77777777" w:rsidR="00EE7861" w:rsidRDefault="00000000">
      <w:pPr>
        <w:rPr>
          <w:sz w:val="20"/>
          <w:szCs w:val="20"/>
        </w:rPr>
      </w:pPr>
      <w:r>
        <w:rPr>
          <w:sz w:val="20"/>
          <w:szCs w:val="20"/>
        </w:rPr>
        <w:t>Figure 1.</w:t>
      </w:r>
      <w:r>
        <w:rPr>
          <w:i/>
          <w:iCs/>
          <w:sz w:val="20"/>
          <w:szCs w:val="20"/>
        </w:rPr>
        <w:t xml:space="preserve"> </w:t>
      </w:r>
      <w:r>
        <w:rPr>
          <w:sz w:val="20"/>
          <w:szCs w:val="20"/>
        </w:rPr>
        <w:t>"Grape Treading" mosaic from the House of the Amphitheater in Merida, Spain</w:t>
      </w:r>
      <w:r>
        <w:rPr>
          <w:i/>
          <w:iCs/>
          <w:sz w:val="20"/>
          <w:szCs w:val="20"/>
        </w:rPr>
        <w:t xml:space="preserve">. </w:t>
      </w:r>
      <w:r>
        <w:rPr>
          <w:sz w:val="20"/>
          <w:szCs w:val="20"/>
        </w:rPr>
        <w:t>(Science Photo Library, 2013.)</w:t>
      </w:r>
    </w:p>
    <w:p w14:paraId="632E61AC" w14:textId="77777777" w:rsidR="001143DC" w:rsidRDefault="001143DC">
      <w:pPr>
        <w:rPr>
          <w:b/>
          <w:bCs/>
        </w:rPr>
      </w:pPr>
    </w:p>
    <w:p w14:paraId="3BBC29B4" w14:textId="673E0BFB" w:rsidR="00EE7861" w:rsidRDefault="00000000">
      <w:pPr>
        <w:spacing w:line="480" w:lineRule="auto"/>
      </w:pPr>
      <w:r>
        <w:rPr>
          <w:b/>
          <w:bCs/>
        </w:rPr>
        <w:t>Case Study: Viticulture</w:t>
      </w:r>
    </w:p>
    <w:p w14:paraId="3C98AE31" w14:textId="15F72E30" w:rsidR="00EE7861" w:rsidRDefault="00000000">
      <w:pPr>
        <w:spacing w:line="480" w:lineRule="auto"/>
      </w:pPr>
      <w:r>
        <w:tab/>
        <w:t>Viticulture was a cornerstone of Roman identity. Wine played a part in daily life, as well as being a symbol of cultural sophistication among elite citizens. Mosaics depicting viticultural scenes often emphasize abundance alongside divine favour, depicting the landowner in the light of agricultural prosperity and the favour of the gods. Grapevines themselves carried deep symbolic meaning in art, representing labour, fertility, and economic success.</w:t>
      </w:r>
      <w:r>
        <w:rPr>
          <w:vertAlign w:val="superscript"/>
        </w:rPr>
        <w:footnoteReference w:id="12"/>
      </w:r>
      <w:r>
        <w:t xml:space="preserve"> </w:t>
      </w:r>
    </w:p>
    <w:p w14:paraId="485F526F" w14:textId="3F99AFF4" w:rsidR="00EE7861" w:rsidRDefault="00000000">
      <w:pPr>
        <w:spacing w:line="480" w:lineRule="auto"/>
      </w:pPr>
      <w:r>
        <w:tab/>
        <w:t xml:space="preserve">The "Grape Treading" mosaic is a great representation of grapevines in agricultural mosaics. The abundance of grapevines and wine vessels in the mosaic highlight the estate's prosperity. The presence of such a volume of grapevines indicates emphasis on the abundance and prosperity of the land. This also link the landowner to the divine; someone with such </w:t>
      </w:r>
      <w:r>
        <w:lastRenderedPageBreak/>
        <w:t>bountiful crops must be favoured by the gods, suggesting continued prosperity. To other elites viewing this piece, this is a signal to the power of the commissioner over his land and people. The inclusion of the tools used — the grape press and the wine jugs — demonstrates the landowner's expertise, adding to the notion that they are projecting the image of being a good 'farmer.' As Eckersley notes, such mosaics strike a balance between realism and idealism, following Cato and Columella's descriptions of these activities but altering them for the purpose of art.</w:t>
      </w:r>
      <w:r>
        <w:rPr>
          <w:vertAlign w:val="superscript"/>
        </w:rPr>
        <w:footnoteReference w:id="13"/>
      </w:r>
    </w:p>
    <w:p w14:paraId="0BEA54DA" w14:textId="782A91FF" w:rsidR="00EE7861" w:rsidRDefault="00000000">
      <w:pPr>
        <w:spacing w:line="480" w:lineRule="auto"/>
      </w:pPr>
      <w:r>
        <w:tab/>
        <w:t>The symbolism of wine extends beyond agriculture. Savo et al. argue that grapevines held religious significance, which can be extended to the Christian church in later Roman periods.</w:t>
      </w:r>
      <w:r>
        <w:rPr>
          <w:vertAlign w:val="superscript"/>
        </w:rPr>
        <w:footnoteReference w:id="14"/>
      </w:r>
      <w:r>
        <w:t xml:space="preserve"> Grapevines appear in mosaics in churches across the empire. The mosaics in the ambulatory of Santa Costanza in Rome (fig. 2) provide a compelling example of Roman viticultural imagery brought into Christian art, blending pagan and Christian symbolism. Located in the mausoleum of Constantina Augusta, this mosaic depicts the harvest and pressing of grapes in two opposing scenes. The inclusion of grapevines and wine in this mosaic could be associated with the Eucharist, referencing divine connection with Christ through the symbolic consumption of wine during communion, representing the blood of Christ.</w:t>
      </w:r>
      <w:r>
        <w:rPr>
          <w:vertAlign w:val="superscript"/>
        </w:rPr>
        <w:footnoteReference w:id="15"/>
      </w:r>
      <w:r>
        <w:t xml:space="preserve"> The Santa Costanza mosaic demonstrates the continuity of the importance of viticulture, and its transformation to fit the moral and spiritual ideals </w:t>
      </w:r>
      <w:r w:rsidR="001143DC">
        <w:t>of</w:t>
      </w:r>
      <w:r>
        <w:t xml:space="preserve"> the changing late Roman era. This synthesis of values reflects the legacy of agricultural imagery as a marker of both earthly and divine abundance. </w:t>
      </w:r>
    </w:p>
    <w:p w14:paraId="47E65E84" w14:textId="77777777" w:rsidR="001143DC" w:rsidRDefault="001143DC">
      <w:pPr>
        <w:rPr>
          <w:sz w:val="20"/>
          <w:szCs w:val="20"/>
        </w:rPr>
      </w:pPr>
    </w:p>
    <w:p w14:paraId="772BC8AC" w14:textId="77777777" w:rsidR="001143DC" w:rsidRDefault="001143DC">
      <w:pPr>
        <w:rPr>
          <w:sz w:val="20"/>
          <w:szCs w:val="20"/>
        </w:rPr>
      </w:pPr>
    </w:p>
    <w:p w14:paraId="56D41A3C" w14:textId="77777777" w:rsidR="001143DC" w:rsidRDefault="001143DC">
      <w:pPr>
        <w:rPr>
          <w:sz w:val="20"/>
          <w:szCs w:val="20"/>
        </w:rPr>
      </w:pPr>
    </w:p>
    <w:p w14:paraId="59B5E404" w14:textId="77777777" w:rsidR="001143DC" w:rsidRDefault="001143DC">
      <w:pPr>
        <w:rPr>
          <w:sz w:val="20"/>
          <w:szCs w:val="20"/>
        </w:rPr>
      </w:pPr>
    </w:p>
    <w:p w14:paraId="37C5F195" w14:textId="315E2E9F" w:rsidR="00EE7861" w:rsidRDefault="001143DC">
      <w:pPr>
        <w:rPr>
          <w:sz w:val="20"/>
          <w:szCs w:val="20"/>
        </w:rPr>
      </w:pPr>
      <w:r>
        <w:rPr>
          <w:noProof/>
        </w:rPr>
        <w:lastRenderedPageBreak/>
        <w:drawing>
          <wp:anchor distT="19050" distB="19050" distL="19050" distR="19050" simplePos="0" relativeHeight="251659264" behindDoc="0" locked="0" layoutInCell="1" hidden="0" allowOverlap="1" wp14:anchorId="39A35B8B" wp14:editId="6BC78D73">
            <wp:simplePos x="0" y="0"/>
            <wp:positionH relativeFrom="margin">
              <wp:posOffset>817190</wp:posOffset>
            </wp:positionH>
            <wp:positionV relativeFrom="margin">
              <wp:posOffset>102870</wp:posOffset>
            </wp:positionV>
            <wp:extent cx="4611370" cy="2694940"/>
            <wp:effectExtent l="0" t="0" r="0" b="0"/>
            <wp:wrapTopAndBottom distT="19050" distB="1905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11370" cy="2694940"/>
                    </a:xfrm>
                    <a:prstGeom prst="rect">
                      <a:avLst/>
                    </a:prstGeom>
                    <a:ln/>
                  </pic:spPr>
                </pic:pic>
              </a:graphicData>
            </a:graphic>
            <wp14:sizeRelH relativeFrom="margin">
              <wp14:pctWidth>0</wp14:pctWidth>
            </wp14:sizeRelH>
            <wp14:sizeRelV relativeFrom="margin">
              <wp14:pctHeight>0</wp14:pctHeight>
            </wp14:sizeRelV>
          </wp:anchor>
        </w:drawing>
      </w:r>
      <w:r w:rsidR="00000000">
        <w:rPr>
          <w:sz w:val="20"/>
          <w:szCs w:val="20"/>
        </w:rPr>
        <w:t>Figure 2. "The ambulatory mosaic of Santa Costanza," Mausoleum of Constantina Augusta. Rome. (Ilya Shurygin, 2012.)</w:t>
      </w:r>
    </w:p>
    <w:p w14:paraId="3FD1B86C" w14:textId="0837529B" w:rsidR="00EE7861" w:rsidRDefault="00EE7861"/>
    <w:p w14:paraId="6B9CD229" w14:textId="6FA57730" w:rsidR="00EE7861" w:rsidRDefault="00000000">
      <w:pPr>
        <w:spacing w:line="480" w:lineRule="auto"/>
      </w:pPr>
      <w:r>
        <w:rPr>
          <w:b/>
          <w:bCs/>
        </w:rPr>
        <w:t>Case Study: Graniculture</w:t>
      </w:r>
    </w:p>
    <w:p w14:paraId="7A37614F" w14:textId="5CE752BE" w:rsidR="00EE7861" w:rsidRDefault="00000000">
      <w:pPr>
        <w:spacing w:line="480" w:lineRule="auto"/>
      </w:pPr>
      <w:r>
        <w:tab/>
        <w:t xml:space="preserve">If viticulture symbolized refinement and luxury, graniculture represented sustenance and stability. The cultivation of grain was not only an economic necessity but a moral imperative, celebrated as a virtuous and patriotic undertaking. Mosaics depicting graniculture often focus on the harvest, particularly of wheat, and in excess. These images emphasize the commissioner's ability to sustain their household and provide excess to be sold to the wider community, presenting them as benevolent providers to their surrounding area. These mosaics serve not to depict the landowner as having the best or most prestigious farm, but to show that they are giving to their community. </w:t>
      </w:r>
    </w:p>
    <w:p w14:paraId="7DB0CB6D" w14:textId="1AF0DC42" w:rsidR="001143DC" w:rsidRPr="001143DC" w:rsidRDefault="00000000">
      <w:pPr>
        <w:spacing w:line="480" w:lineRule="auto"/>
      </w:pPr>
      <w:r>
        <w:tab/>
        <w:t xml:space="preserve">The "Wheat Threshing" mosaic at Zliten in Tripolitania (fig.3) is a notable example of active graniculture in mosaics. It portrays men using horses and bulls to help thresh the wheat quicker, which in this piece is a very sizable pile of golden grain. The piece has an air of order and harmony to it, with the trees and foliage connecting the work scene to the natural world, and the house in the background likely reflecting the house the mosaic is located in or one similar to </w:t>
      </w:r>
      <w:r>
        <w:lastRenderedPageBreak/>
        <w:t xml:space="preserve">it. The mosaic celebrates the landowner's ability to provide beyond themselves, projecting them as a vital contributor to Rome's economy and through provision of valuable crops to the community. By showcasing their estates as microcosms of order and plenty, elites reinforce their identities as pillars of Roman society. As </w:t>
      </w:r>
      <w:proofErr w:type="spellStart"/>
      <w:r>
        <w:t>Du</w:t>
      </w:r>
      <w:r w:rsidR="001143DC">
        <w:t>n</w:t>
      </w:r>
      <w:r>
        <w:t>b</w:t>
      </w:r>
      <w:r w:rsidR="001143DC">
        <w:t>ab</w:t>
      </w:r>
      <w:r>
        <w:t>in</w:t>
      </w:r>
      <w:proofErr w:type="spellEnd"/>
      <w:r>
        <w:t xml:space="preserve"> suggests, such depictions transform the harsh reality of agricultural work into a vision of harmony and prosperity, reflecting the landowner's </w:t>
      </w:r>
      <w:r w:rsidR="001143DC">
        <w:rPr>
          <w:noProof/>
        </w:rPr>
        <w:drawing>
          <wp:anchor distT="19050" distB="19050" distL="19050" distR="19050" simplePos="0" relativeHeight="251660288" behindDoc="0" locked="0" layoutInCell="1" hidden="0" allowOverlap="1" wp14:anchorId="33C41EA2" wp14:editId="02072C0D">
            <wp:simplePos x="0" y="0"/>
            <wp:positionH relativeFrom="margin">
              <wp:align>center</wp:align>
            </wp:positionH>
            <wp:positionV relativeFrom="margin">
              <wp:posOffset>2147929</wp:posOffset>
            </wp:positionV>
            <wp:extent cx="2959629" cy="2959629"/>
            <wp:effectExtent l="0" t="0" r="0" b="0"/>
            <wp:wrapTopAndBottom distT="19050" distB="1905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959629" cy="2959629"/>
                    </a:xfrm>
                    <a:prstGeom prst="rect">
                      <a:avLst/>
                    </a:prstGeom>
                    <a:ln/>
                  </pic:spPr>
                </pic:pic>
              </a:graphicData>
            </a:graphic>
          </wp:anchor>
        </w:drawing>
      </w:r>
      <w:r>
        <w:t>aspirations and self-image.</w:t>
      </w:r>
      <w:r>
        <w:rPr>
          <w:vertAlign w:val="superscript"/>
        </w:rPr>
        <w:footnoteReference w:id="16"/>
      </w:r>
      <w:r>
        <w:t xml:space="preserve"> </w:t>
      </w:r>
    </w:p>
    <w:p w14:paraId="566E0091" w14:textId="66A1F8D9" w:rsidR="00EE7861" w:rsidRDefault="00000000" w:rsidP="001143DC">
      <w:pPr>
        <w:spacing w:line="480" w:lineRule="auto"/>
        <w:ind w:firstLine="720"/>
        <w:rPr>
          <w:sz w:val="20"/>
          <w:szCs w:val="20"/>
        </w:rPr>
      </w:pPr>
      <w:r>
        <w:rPr>
          <w:sz w:val="20"/>
          <w:szCs w:val="20"/>
        </w:rPr>
        <w:t>Figure 3: "Wheat Threshing" mosaic from villa at Zliten in Tripolitania. (Gene Veith.)</w:t>
      </w:r>
    </w:p>
    <w:p w14:paraId="7C11BB0E" w14:textId="77777777" w:rsidR="001143DC" w:rsidRPr="001143DC" w:rsidRDefault="001143DC">
      <w:pPr>
        <w:spacing w:line="480" w:lineRule="auto"/>
        <w:rPr>
          <w:sz w:val="6"/>
          <w:szCs w:val="6"/>
        </w:rPr>
      </w:pPr>
    </w:p>
    <w:p w14:paraId="5518938A" w14:textId="3ECB7278" w:rsidR="00EE7861" w:rsidRDefault="00000000">
      <w:pPr>
        <w:spacing w:line="480" w:lineRule="auto"/>
        <w:ind w:firstLine="720"/>
      </w:pPr>
      <w:r>
        <w:t xml:space="preserve">Unfortunately, this is one of the only surviving mosaics that depicts graniculture as an agricultural activity. However, grain is represented in many others, often associated with the personified figure of Summer. In mosaics where Summer is represented, it is often a young woman with sheaves of grain and a sickle. It can be argued that depictions of the seasons can serve a similar purpose as agricultural scenes; reinforcing the elites' virtues by depicting the prosperity of their estates and communities. Oftentimes these personifications of the seasons </w:t>
      </w:r>
      <w:r>
        <w:lastRenderedPageBreak/>
        <w:t xml:space="preserve">depict each figure decorated with crops appropriate for that season: autumn with ears of corn, spring with flowers, and summer with grain. </w:t>
      </w:r>
    </w:p>
    <w:p w14:paraId="7CDA2A23" w14:textId="36449EEE" w:rsidR="001143DC" w:rsidRPr="001143DC" w:rsidRDefault="001143DC" w:rsidP="001143DC">
      <w:pPr>
        <w:spacing w:line="480" w:lineRule="auto"/>
        <w:ind w:firstLine="720"/>
      </w:pPr>
      <w:r>
        <w:rPr>
          <w:noProof/>
        </w:rPr>
        <w:drawing>
          <wp:anchor distT="19050" distB="19050" distL="19050" distR="19050" simplePos="0" relativeHeight="251661312" behindDoc="0" locked="0" layoutInCell="1" hidden="0" allowOverlap="1" wp14:anchorId="4C79DAFB" wp14:editId="58970FC3">
            <wp:simplePos x="0" y="0"/>
            <wp:positionH relativeFrom="margin">
              <wp:align>center</wp:align>
            </wp:positionH>
            <wp:positionV relativeFrom="margin">
              <wp:posOffset>3213901</wp:posOffset>
            </wp:positionV>
            <wp:extent cx="4180417" cy="2780371"/>
            <wp:effectExtent l="0" t="0" r="0" b="1270"/>
            <wp:wrapTopAndBottom distT="19050" distB="190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80417" cy="2780371"/>
                    </a:xfrm>
                    <a:prstGeom prst="rect">
                      <a:avLst/>
                    </a:prstGeom>
                    <a:ln/>
                  </pic:spPr>
                </pic:pic>
              </a:graphicData>
            </a:graphic>
          </wp:anchor>
        </w:drawing>
      </w:r>
      <w:r w:rsidR="00000000">
        <w:t>A prime example of this trend is the "Mosaic of the Four Seasons" at the Imperial Palace at Ost</w:t>
      </w:r>
      <w:r>
        <w:t>ia</w:t>
      </w:r>
      <w:r w:rsidR="00000000">
        <w:t xml:space="preserve"> (fig.4). In this mosaic, Summer (labelled Astas, the Latin name) is depicted as a youth wearing a crown of wheat holding a sickle. This mosaic could symbolize not only the prosperity of the estate but of Ostia as a whole, linking the productivity of the community to the divine order, implying that Ostia's success is divinely ordained. Personified season mosaics present the idea of a relationship between man and nature — a relationship idealized by the elite of the community to legitimize their control over the local resources and land.</w:t>
      </w:r>
    </w:p>
    <w:p w14:paraId="14AF3BF0" w14:textId="168A0292" w:rsidR="00EE7861" w:rsidRDefault="00000000">
      <w:pPr>
        <w:rPr>
          <w:sz w:val="20"/>
          <w:szCs w:val="20"/>
        </w:rPr>
      </w:pPr>
      <w:r>
        <w:rPr>
          <w:sz w:val="20"/>
          <w:szCs w:val="20"/>
        </w:rPr>
        <w:t>Figure 4: "Mosaic of the Four Seasons" from the Imperial Palace in Ostia. (Louis F. Aulbach, Linda C</w:t>
      </w:r>
      <w:r w:rsidR="001143DC">
        <w:rPr>
          <w:sz w:val="20"/>
          <w:szCs w:val="20"/>
        </w:rPr>
        <w:t>.</w:t>
      </w:r>
      <w:r>
        <w:rPr>
          <w:sz w:val="20"/>
          <w:szCs w:val="20"/>
        </w:rPr>
        <w:t xml:space="preserve"> Gorski.)</w:t>
      </w:r>
    </w:p>
    <w:p w14:paraId="55D65DA5" w14:textId="77777777" w:rsidR="001143DC" w:rsidRDefault="001143DC">
      <w:pPr>
        <w:rPr>
          <w:sz w:val="20"/>
          <w:szCs w:val="20"/>
        </w:rPr>
      </w:pPr>
    </w:p>
    <w:p w14:paraId="219B2F8B" w14:textId="2F17248F" w:rsidR="00EE7861" w:rsidRDefault="00000000">
      <w:pPr>
        <w:spacing w:line="480" w:lineRule="auto"/>
        <w:ind w:firstLine="720"/>
      </w:pPr>
      <w:r>
        <w:t xml:space="preserve">Another example of this comes from ancient Uthina in Tunisia, where a mosaic depicts a unique personification of summer. In this mosaic (fig.5), summer is represented by Ceres, goddess of the harvest, explicitly linking the success of their land with the divine. To depict the land as "blessed" by Ceres is to praise its abundance and hope for its continual prosperity. This </w:t>
      </w:r>
      <w:r>
        <w:lastRenderedPageBreak/>
        <w:t>relates to Virg</w:t>
      </w:r>
      <w:r w:rsidR="001143DC">
        <w:t>i</w:t>
      </w:r>
      <w:r>
        <w:t xml:space="preserve">l's concept of the </w:t>
      </w:r>
      <w:r w:rsidRPr="001143DC">
        <w:rPr>
          <w:i/>
          <w:iCs/>
        </w:rPr>
        <w:t xml:space="preserve">bonus </w:t>
      </w:r>
      <w:proofErr w:type="spellStart"/>
      <w:r w:rsidRPr="001143DC">
        <w:rPr>
          <w:i/>
          <w:iCs/>
        </w:rPr>
        <w:t>agricola</w:t>
      </w:r>
      <w:proofErr w:type="spellEnd"/>
      <w:r>
        <w:t xml:space="preserve"> — the good farmer — who was meant to </w:t>
      </w:r>
      <w:r w:rsidR="001143DC">
        <w:rPr>
          <w:noProof/>
        </w:rPr>
        <w:drawing>
          <wp:anchor distT="19050" distB="19050" distL="19050" distR="19050" simplePos="0" relativeHeight="251662336" behindDoc="0" locked="0" layoutInCell="1" hidden="0" allowOverlap="1" wp14:anchorId="20D9464B" wp14:editId="2D4E8DCC">
            <wp:simplePos x="0" y="0"/>
            <wp:positionH relativeFrom="margin">
              <wp:align>center</wp:align>
            </wp:positionH>
            <wp:positionV relativeFrom="margin">
              <wp:posOffset>634254</wp:posOffset>
            </wp:positionV>
            <wp:extent cx="4252482" cy="3281362"/>
            <wp:effectExtent l="0" t="0" r="0" b="0"/>
            <wp:wrapTopAndBottom distT="19050" distB="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252482" cy="3281362"/>
                    </a:xfrm>
                    <a:prstGeom prst="rect">
                      <a:avLst/>
                    </a:prstGeom>
                    <a:ln/>
                  </pic:spPr>
                </pic:pic>
              </a:graphicData>
            </a:graphic>
          </wp:anchor>
        </w:drawing>
      </w:r>
      <w:r>
        <w:t>harmonize with the seasons to cultivate the land.</w:t>
      </w:r>
      <w:r>
        <w:rPr>
          <w:vertAlign w:val="superscript"/>
        </w:rPr>
        <w:footnoteReference w:id="17"/>
      </w:r>
    </w:p>
    <w:p w14:paraId="597BBAAA" w14:textId="3C2B7A3C" w:rsidR="00EE7861" w:rsidRDefault="00000000">
      <w:pPr>
        <w:rPr>
          <w:sz w:val="20"/>
          <w:szCs w:val="20"/>
        </w:rPr>
      </w:pPr>
      <w:r>
        <w:rPr>
          <w:sz w:val="20"/>
          <w:szCs w:val="20"/>
        </w:rPr>
        <w:t>Figure 5: "Allegory of Summer with Ceres harvesting wheat" from Uthina, Tunisia. (Gianni Dagli Orti, 1969.)</w:t>
      </w:r>
    </w:p>
    <w:p w14:paraId="7AB4FD6C" w14:textId="3ABB2E29" w:rsidR="00EE7861" w:rsidRDefault="00EE7861">
      <w:pPr>
        <w:rPr>
          <w:i/>
          <w:iCs/>
          <w:sz w:val="20"/>
          <w:szCs w:val="20"/>
        </w:rPr>
      </w:pPr>
    </w:p>
    <w:p w14:paraId="0C6B0722" w14:textId="0DB1CCC1" w:rsidR="00EE7861" w:rsidRDefault="00000000">
      <w:pPr>
        <w:spacing w:line="480" w:lineRule="auto"/>
        <w:ind w:firstLine="720"/>
      </w:pPr>
      <w:r>
        <w:t xml:space="preserve">The crossover of literary and visual ideas in Roman depictions of agriculture, particularly graniculture and viticulture, reflects a framework in which the natural world, labour, and elite identity mix. Texts such as Virgil's </w:t>
      </w:r>
      <w:r>
        <w:rPr>
          <w:i/>
          <w:iCs/>
        </w:rPr>
        <w:t>Georgics</w:t>
      </w:r>
      <w:r>
        <w:t xml:space="preserve">, Cato's </w:t>
      </w:r>
      <w:r>
        <w:rPr>
          <w:i/>
          <w:iCs/>
        </w:rPr>
        <w:t>De Agri Cultura</w:t>
      </w:r>
      <w:r>
        <w:t xml:space="preserve">, and Columella's </w:t>
      </w:r>
      <w:r>
        <w:rPr>
          <w:i/>
          <w:iCs/>
        </w:rPr>
        <w:t>De Re Rustica</w:t>
      </w:r>
      <w:r>
        <w:t xml:space="preserve"> provide a lens through which the elite ideas of agriculture can be understood, particularly in relation to the socio-economic relationship between agriculture and elites. These works display the virtues of productivity, order, and abundance, which the mosaics bring visually to life through their representations of farming tasks and fruits of their labour.</w:t>
      </w:r>
    </w:p>
    <w:p w14:paraId="00FD503D" w14:textId="7694F550" w:rsidR="00EE7861" w:rsidRDefault="00000000">
      <w:pPr>
        <w:spacing w:line="480" w:lineRule="auto"/>
        <w:ind w:firstLine="720"/>
      </w:pPr>
      <w:r>
        <w:t xml:space="preserve">Virgil's </w:t>
      </w:r>
      <w:r>
        <w:rPr>
          <w:i/>
          <w:iCs/>
        </w:rPr>
        <w:t>Georgics</w:t>
      </w:r>
      <w:r>
        <w:t xml:space="preserve"> is a foundational text in this interplay, as it is also a work of art through poetry. It celebrates the life and toil of the farmer, and the moral virtues tied to agricultural success. Here he introduces the </w:t>
      </w:r>
      <w:r w:rsidRPr="001143DC">
        <w:rPr>
          <w:i/>
          <w:iCs/>
        </w:rPr>
        <w:t xml:space="preserve">bonus </w:t>
      </w:r>
      <w:proofErr w:type="spellStart"/>
      <w:r w:rsidRPr="001143DC">
        <w:rPr>
          <w:i/>
          <w:iCs/>
        </w:rPr>
        <w:t>agricola</w:t>
      </w:r>
      <w:proofErr w:type="spellEnd"/>
      <w:r>
        <w:t xml:space="preserve">, a figure that identifies with harmony and nature, </w:t>
      </w:r>
      <w:r>
        <w:lastRenderedPageBreak/>
        <w:t>and has a connection to the divine.</w:t>
      </w:r>
      <w:r>
        <w:rPr>
          <w:vertAlign w:val="superscript"/>
        </w:rPr>
        <w:footnoteReference w:id="18"/>
      </w:r>
      <w:r>
        <w:t xml:space="preserve"> This was a figure that the elite population wanted to align themselves with. The idea of the </w:t>
      </w:r>
      <w:r w:rsidRPr="00EC6859">
        <w:rPr>
          <w:i/>
          <w:iCs/>
        </w:rPr>
        <w:t xml:space="preserve">bonus </w:t>
      </w:r>
      <w:proofErr w:type="spellStart"/>
      <w:r w:rsidRPr="00EC6859">
        <w:rPr>
          <w:i/>
          <w:iCs/>
        </w:rPr>
        <w:t>agricola</w:t>
      </w:r>
      <w:proofErr w:type="spellEnd"/>
      <w:r>
        <w:t xml:space="preserve"> finds its counterpart in mosaics, such as the "Wheat Threshing" and "Grape Trading" mosaics, with their depictions of labourers working with nature in blissful harmony. These mosaics romanticize the agricultural process, portraying it not as messy, hard labour but as a well-orchestrated activity reflecting the landowner's governance. </w:t>
      </w:r>
      <w:proofErr w:type="spellStart"/>
      <w:r>
        <w:t>Dunbabin</w:t>
      </w:r>
      <w:proofErr w:type="spellEnd"/>
      <w:r>
        <w:t xml:space="preserve"> notes that mosaics, much like Virgil's poetry, serve a dual purpose; they are both a celebration of abundance and a deliberate act of self-representation by the elite.</w:t>
      </w:r>
    </w:p>
    <w:p w14:paraId="10FBE012" w14:textId="32F170E1" w:rsidR="00EE7861" w:rsidRDefault="00000000">
      <w:pPr>
        <w:spacing w:line="480" w:lineRule="auto"/>
        <w:ind w:firstLine="720"/>
      </w:pPr>
      <w:r>
        <w:t xml:space="preserve">Cato's </w:t>
      </w:r>
      <w:r>
        <w:rPr>
          <w:i/>
          <w:iCs/>
        </w:rPr>
        <w:t>De Agri Cultura</w:t>
      </w:r>
      <w:r>
        <w:t xml:space="preserve"> is another significant text in discussing the importance of farming to the economic and social standings of the elite, emphasizing the landowner's role as the steward of the land. Cato writes on the organization of estates, management of labourers, and the necessity of agricultural diligence as a key Roman virtue.</w:t>
      </w:r>
      <w:r>
        <w:rPr>
          <w:vertAlign w:val="superscript"/>
        </w:rPr>
        <w:footnoteReference w:id="19"/>
      </w:r>
      <w:r>
        <w:t xml:space="preserve"> All of the above are visually represented in mosaics, such as the one in Santa Costanza, where the processes involved in winemaking are highly organized and procedural. Mallon's </w:t>
      </w:r>
      <w:proofErr w:type="spellStart"/>
      <w:r>
        <w:t>taskscapes</w:t>
      </w:r>
      <w:proofErr w:type="spellEnd"/>
      <w:r>
        <w:t xml:space="preserve"> illustrate how the visual art communicates the same ideas that the literary does; the organization of the labour and the success of the land in the art reflect not only the productivity of the land itself, but </w:t>
      </w:r>
      <w:r w:rsidR="00EC6859">
        <w:t>th</w:t>
      </w:r>
      <w:r>
        <w:t>e morality of the landowner.</w:t>
      </w:r>
      <w:r>
        <w:rPr>
          <w:vertAlign w:val="superscript"/>
        </w:rPr>
        <w:footnoteReference w:id="20"/>
      </w:r>
    </w:p>
    <w:p w14:paraId="29CFD6F4" w14:textId="77777777" w:rsidR="00EE7861" w:rsidRDefault="00000000">
      <w:pPr>
        <w:spacing w:line="480" w:lineRule="auto"/>
        <w:ind w:firstLine="720"/>
      </w:pPr>
      <w:r>
        <w:t xml:space="preserve">Columella's </w:t>
      </w:r>
      <w:r>
        <w:rPr>
          <w:i/>
          <w:iCs/>
        </w:rPr>
        <w:t>De Re Rustica</w:t>
      </w:r>
      <w:r>
        <w:t xml:space="preserve"> builds on these themes, providing a manual on agricultural management that blends practical advice with philosophy. Columella emphasizes that the successful landowner is one who balances economic efficiency with the preservation of natural abundance.</w:t>
      </w:r>
      <w:r>
        <w:rPr>
          <w:vertAlign w:val="superscript"/>
        </w:rPr>
        <w:footnoteReference w:id="21"/>
      </w:r>
      <w:r>
        <w:t xml:space="preserve"> This idea is captured well in the mosaics that depict abundant harvests; both the </w:t>
      </w:r>
      <w:proofErr w:type="spellStart"/>
      <w:r>
        <w:lastRenderedPageBreak/>
        <w:t>granicultural</w:t>
      </w:r>
      <w:proofErr w:type="spellEnd"/>
      <w:r>
        <w:t xml:space="preserve"> and viticultural examples come to mind. As Savo et al. argue, the symbolism of agricultural imagery, particularly in grapevines, ties together the themes of human labour, natural cycles, and the divine, linking these ideals to the elite's identity.</w:t>
      </w:r>
      <w:r>
        <w:rPr>
          <w:vertAlign w:val="superscript"/>
        </w:rPr>
        <w:footnoteReference w:id="22"/>
      </w:r>
      <w:r>
        <w:t xml:space="preserve"> </w:t>
      </w:r>
    </w:p>
    <w:p w14:paraId="25760767" w14:textId="77777777" w:rsidR="00EE7861" w:rsidRDefault="00000000">
      <w:pPr>
        <w:spacing w:line="480" w:lineRule="auto"/>
      </w:pPr>
      <w:r>
        <w:tab/>
        <w:t>Furthermore, Roman mosaics use visual cues to echo the literary idea that agriculture is far more than economic activity, but that it is a sociopolitical one. The scenes, often orderly and productive in nature, reflect the discipline praised in Roman virtues which the elites aim to uphold. They create a narrative of control and prosperity that aligns perfectly with that of the literary. The mosaics' blend of realism and idealism mirrors the way Roman writers framed agriculture as the most noble pursuit, idealizing the labour and the fruits of said labour while ignoring the harsh reality of agricultural work itself.</w:t>
      </w:r>
      <w:r>
        <w:rPr>
          <w:vertAlign w:val="superscript"/>
        </w:rPr>
        <w:footnoteReference w:id="23"/>
      </w:r>
    </w:p>
    <w:p w14:paraId="3C06B174" w14:textId="77777777" w:rsidR="00EE7861" w:rsidRDefault="00000000">
      <w:pPr>
        <w:spacing w:line="480" w:lineRule="auto"/>
      </w:pPr>
      <w:r>
        <w:tab/>
        <w:t>The integration of literary ideals into visual art is most evident in viticultural depictions. Virgil's celebration of the grapevine as a symbol of abundance resonates with the examples selected above, where the harvesting and pressing of grapes is a symbol for both the literal (agricultural abundance) and the metaphorical (spiritual abundance).</w:t>
      </w:r>
      <w:r>
        <w:rPr>
          <w:vertAlign w:val="superscript"/>
        </w:rPr>
        <w:footnoteReference w:id="24"/>
      </w:r>
      <w:r>
        <w:t xml:space="preserve"> The "Wheat Threshing" mosaic embodies Columella's and Cato's ideas of disciplined, organized labour, and ties the success of the estate to the discipline and economic virtue of the landowner.</w:t>
      </w:r>
    </w:p>
    <w:p w14:paraId="67D285B8" w14:textId="77777777" w:rsidR="00EE7861" w:rsidRDefault="00000000">
      <w:pPr>
        <w:spacing w:line="480" w:lineRule="auto"/>
      </w:pPr>
      <w:r>
        <w:tab/>
        <w:t xml:space="preserve">Both mediums work to project an image of elite landowners as virtuous keepers of the land, whose prosperity comes from their alignment with Roman socioeconomic virtues, highlighting the role of agriculture as a highly powerful symbol of identity, control, and prestige in Roman elite society. By examining these parallels, a deeper understanding can be reached </w:t>
      </w:r>
      <w:r>
        <w:lastRenderedPageBreak/>
        <w:t>regarding how the elites used art of all varieties to construct and perpetuate their ideals of agricultural virtue, and project themselves as pillars of society.</w:t>
      </w:r>
    </w:p>
    <w:p w14:paraId="1260CC72" w14:textId="77777777" w:rsidR="00EE7861" w:rsidRDefault="00EE7861">
      <w:pPr>
        <w:spacing w:line="480" w:lineRule="auto"/>
      </w:pPr>
    </w:p>
    <w:p w14:paraId="268FFAC5" w14:textId="77777777" w:rsidR="00EE7861" w:rsidRDefault="00000000">
      <w:pPr>
        <w:spacing w:line="480" w:lineRule="auto"/>
      </w:pPr>
      <w:r>
        <w:tab/>
        <w:t xml:space="preserve">The interplay between Roman mosaics and agricultural ideals, as demonstrated in the depiction of viticulture and graniculture, provides insight into the socioeconomic values of the Roman elite. By commissioning mosaics that idealized the labour of the land and celebrated abundance and harvest, the elite population aligned themselves with virtues outlined in the literary works of other elites, such as the </w:t>
      </w:r>
      <w:r>
        <w:rPr>
          <w:i/>
          <w:iCs/>
        </w:rPr>
        <w:t xml:space="preserve">Georgics, De Re Rustica, </w:t>
      </w:r>
      <w:r>
        <w:t xml:space="preserve">and </w:t>
      </w:r>
      <w:r>
        <w:rPr>
          <w:i/>
          <w:iCs/>
        </w:rPr>
        <w:t>De Agri Cultura</w:t>
      </w:r>
      <w:r>
        <w:t xml:space="preserve">. Texts like these glorified agriculture as a noble pursuit and connected landowners to the prosperity of the land and the divine favour required to sustain it. The mosaics' depictions of harvest scenes reinforce these ideals and serve as visual affirmations of the elites' identities as masters of moral and economic order. Such depictions purposefully gloss over the unpleasant reality of agricultural labour, focusing instead on pleasant aesthetics. The </w:t>
      </w:r>
      <w:proofErr w:type="spellStart"/>
      <w:r>
        <w:t>taskscapes</w:t>
      </w:r>
      <w:proofErr w:type="spellEnd"/>
      <w:r>
        <w:t xml:space="preserve"> portrayed present a harmonious relationship between land and </w:t>
      </w:r>
      <w:proofErr w:type="spellStart"/>
      <w:r>
        <w:t>labourer</w:t>
      </w:r>
      <w:proofErr w:type="spellEnd"/>
      <w:r>
        <w:t>, emphasizing the landowner's control over the estate and the workers as directly contributing to the prosperity of the land. At the same time, these works brought together the literary ideals of abundance and virtue, blending them with the elites' need for prestige and cultural superiority among one another.</w:t>
      </w:r>
    </w:p>
    <w:p w14:paraId="7C942ABC" w14:textId="77777777" w:rsidR="00EE7861" w:rsidRDefault="00000000">
      <w:pPr>
        <w:spacing w:line="480" w:lineRule="auto"/>
      </w:pPr>
      <w:r>
        <w:tab/>
        <w:t xml:space="preserve">Ultimately, Roman mosaics depicting agricultural themes were more than mere decoration; they were carefully crafted visual narratives that communicated the commissioner's identity, values, and power. By romanticizing agriculture as a moral </w:t>
      </w:r>
      <w:proofErr w:type="spellStart"/>
      <w:r>
        <w:t>endeavour</w:t>
      </w:r>
      <w:proofErr w:type="spellEnd"/>
      <w:r>
        <w:t xml:space="preserve"> and a key component of the economy, these mosaics reinforced the sociopolitical structures of Roman society, perpetuating ideals of elite stewardship. When analyzed alongside literary sources, they reveal a nuanced look into how the Roman elite used art, literary and visual, to craft a vision of </w:t>
      </w:r>
      <w:r>
        <w:lastRenderedPageBreak/>
        <w:t>themselves as prosperous and virtuous. Through these visual and literary depictions, a deeper appreciation can be gained for the cultural framework that bound Roman elites to the land and legacy of agricultural symbolism in their art.</w:t>
      </w:r>
    </w:p>
    <w:p w14:paraId="5B385FF6" w14:textId="77777777" w:rsidR="00EE7861" w:rsidRDefault="00EE7861">
      <w:pPr>
        <w:spacing w:line="480" w:lineRule="auto"/>
      </w:pPr>
    </w:p>
    <w:p w14:paraId="1CC64F57" w14:textId="77777777" w:rsidR="00EE7861" w:rsidRDefault="00EE7861">
      <w:pPr>
        <w:spacing w:line="480" w:lineRule="auto"/>
      </w:pPr>
    </w:p>
    <w:p w14:paraId="7EDE7074" w14:textId="77777777" w:rsidR="00EE7861" w:rsidRDefault="00EE7861">
      <w:pPr>
        <w:spacing w:line="480" w:lineRule="auto"/>
      </w:pPr>
    </w:p>
    <w:p w14:paraId="368D06A8" w14:textId="77777777" w:rsidR="00EE7861" w:rsidRDefault="00EE7861">
      <w:pPr>
        <w:spacing w:line="480" w:lineRule="auto"/>
      </w:pPr>
    </w:p>
    <w:p w14:paraId="5B451FE4" w14:textId="77777777" w:rsidR="00EE7861" w:rsidRDefault="00EE7861">
      <w:pPr>
        <w:spacing w:line="480" w:lineRule="auto"/>
      </w:pPr>
    </w:p>
    <w:p w14:paraId="05E544E6" w14:textId="77777777" w:rsidR="00EE7861" w:rsidRDefault="00EE7861">
      <w:pPr>
        <w:spacing w:line="480" w:lineRule="auto"/>
      </w:pPr>
    </w:p>
    <w:p w14:paraId="4790E194" w14:textId="77777777" w:rsidR="00EE7861" w:rsidRDefault="00EE7861">
      <w:pPr>
        <w:spacing w:line="480" w:lineRule="auto"/>
      </w:pPr>
    </w:p>
    <w:p w14:paraId="1C2AC32F" w14:textId="77777777" w:rsidR="00EE7861" w:rsidRDefault="00EE7861">
      <w:pPr>
        <w:spacing w:line="480" w:lineRule="auto"/>
      </w:pPr>
    </w:p>
    <w:p w14:paraId="2F8EA270" w14:textId="77777777" w:rsidR="00EE7861" w:rsidRDefault="00EE7861">
      <w:pPr>
        <w:spacing w:line="480" w:lineRule="auto"/>
      </w:pPr>
    </w:p>
    <w:p w14:paraId="0DFA7DA7" w14:textId="77777777" w:rsidR="00EE7861" w:rsidRDefault="00EE7861">
      <w:pPr>
        <w:spacing w:line="480" w:lineRule="auto"/>
      </w:pPr>
    </w:p>
    <w:p w14:paraId="5DB336C6" w14:textId="77777777" w:rsidR="00EE7861" w:rsidRDefault="00EE7861">
      <w:pPr>
        <w:spacing w:line="480" w:lineRule="auto"/>
      </w:pPr>
    </w:p>
    <w:p w14:paraId="3F49323B" w14:textId="77777777" w:rsidR="00EE7861" w:rsidRDefault="00EE7861">
      <w:pPr>
        <w:spacing w:line="480" w:lineRule="auto"/>
      </w:pPr>
    </w:p>
    <w:p w14:paraId="7618D546" w14:textId="77777777" w:rsidR="00EE7861" w:rsidRDefault="00EE7861">
      <w:pPr>
        <w:spacing w:line="480" w:lineRule="auto"/>
      </w:pPr>
    </w:p>
    <w:p w14:paraId="31BAE873" w14:textId="77777777" w:rsidR="00EE7861" w:rsidRDefault="00EE7861">
      <w:pPr>
        <w:spacing w:line="480" w:lineRule="auto"/>
      </w:pPr>
    </w:p>
    <w:p w14:paraId="6A744DBB" w14:textId="77777777" w:rsidR="00EE7861" w:rsidRDefault="00000000">
      <w:pPr>
        <w:ind w:firstLine="720"/>
      </w:pPr>
      <w:r>
        <w:br w:type="page"/>
      </w:r>
    </w:p>
    <w:p w14:paraId="0AD6E37E" w14:textId="77777777" w:rsidR="00EE7861" w:rsidRDefault="00000000">
      <w:pPr>
        <w:jc w:val="center"/>
      </w:pPr>
      <w:r>
        <w:lastRenderedPageBreak/>
        <w:t>Bibliography</w:t>
      </w:r>
    </w:p>
    <w:p w14:paraId="70E2031B" w14:textId="77777777" w:rsidR="00EE7861" w:rsidRDefault="00EE7861">
      <w:pPr>
        <w:jc w:val="center"/>
      </w:pPr>
    </w:p>
    <w:p w14:paraId="299E14B4" w14:textId="77777777" w:rsidR="00EE7861" w:rsidRDefault="00EE7861"/>
    <w:p w14:paraId="308CF477" w14:textId="77777777" w:rsidR="00EE7861" w:rsidRDefault="00000000">
      <w:pPr>
        <w:widowControl w:val="0"/>
        <w:spacing w:line="240" w:lineRule="auto"/>
      </w:pPr>
      <w:r>
        <w:t xml:space="preserve">Cato. </w:t>
      </w:r>
      <w:r>
        <w:rPr>
          <w:i/>
          <w:iCs/>
        </w:rPr>
        <w:t>De Agri Cultura</w:t>
      </w:r>
      <w:r>
        <w:t xml:space="preserve">. Translated by Kenneth Rolling. </w:t>
      </w:r>
      <w:proofErr w:type="spellStart"/>
      <w:r>
        <w:t>Oxrose</w:t>
      </w:r>
      <w:proofErr w:type="spellEnd"/>
      <w:r>
        <w:t xml:space="preserve"> Academy, 2012. </w:t>
      </w:r>
    </w:p>
    <w:p w14:paraId="2A8B401D" w14:textId="77777777" w:rsidR="00EE7861" w:rsidRDefault="00EE7861">
      <w:pPr>
        <w:widowControl w:val="0"/>
        <w:spacing w:line="240" w:lineRule="auto"/>
        <w:ind w:right="1232"/>
      </w:pPr>
    </w:p>
    <w:p w14:paraId="3B276BEE" w14:textId="77777777" w:rsidR="00EE7861" w:rsidRDefault="00000000">
      <w:r>
        <w:t xml:space="preserve">Cicero, M. Tullius. </w:t>
      </w:r>
      <w:r>
        <w:rPr>
          <w:i/>
          <w:iCs/>
        </w:rPr>
        <w:t xml:space="preserve">De </w:t>
      </w:r>
      <w:proofErr w:type="spellStart"/>
      <w:r>
        <w:rPr>
          <w:i/>
          <w:iCs/>
        </w:rPr>
        <w:t>Officiis</w:t>
      </w:r>
      <w:proofErr w:type="spellEnd"/>
      <w:r>
        <w:t>. Translated by Walter Miller. Harvard University Press, 1913.</w:t>
      </w:r>
    </w:p>
    <w:p w14:paraId="726469AB" w14:textId="77777777" w:rsidR="00EE7861" w:rsidRDefault="00EE7861">
      <w:pPr>
        <w:ind w:firstLine="720"/>
      </w:pPr>
    </w:p>
    <w:p w14:paraId="1136A7A8" w14:textId="77777777" w:rsidR="00EE7861" w:rsidRDefault="00000000">
      <w:r>
        <w:t xml:space="preserve">Columella. </w:t>
      </w:r>
      <w:r>
        <w:rPr>
          <w:i/>
          <w:iCs/>
        </w:rPr>
        <w:t>De Re Rustica</w:t>
      </w:r>
      <w:r>
        <w:t xml:space="preserve">. Translated by Bill Thayer. </w:t>
      </w:r>
      <w:proofErr w:type="spellStart"/>
      <w:r>
        <w:rPr>
          <w:i/>
          <w:iCs/>
        </w:rPr>
        <w:t>LacusCurtius</w:t>
      </w:r>
      <w:proofErr w:type="spellEnd"/>
      <w:r>
        <w:t xml:space="preserve">. 29 April, 2023. </w:t>
      </w:r>
    </w:p>
    <w:p w14:paraId="78CA861C" w14:textId="77777777" w:rsidR="00EE7861" w:rsidRDefault="00000000">
      <w:pPr>
        <w:ind w:firstLine="720"/>
      </w:pPr>
      <w:r>
        <w:t>penelope.uchicago.edu/Thayer/e/roman/texts/columella/de_re_rustica/1*.html</w:t>
      </w:r>
    </w:p>
    <w:p w14:paraId="0C87D537" w14:textId="77777777" w:rsidR="00EE7861" w:rsidRDefault="00EE7861">
      <w:pPr>
        <w:ind w:firstLine="720"/>
      </w:pPr>
    </w:p>
    <w:p w14:paraId="520B47F7" w14:textId="77777777" w:rsidR="00EE7861" w:rsidRDefault="00000000">
      <w:proofErr w:type="spellStart"/>
      <w:r>
        <w:t>Dunbabin</w:t>
      </w:r>
      <w:proofErr w:type="spellEnd"/>
      <w:r>
        <w:t xml:space="preserve">, Katherine M. D. </w:t>
      </w:r>
      <w:r>
        <w:rPr>
          <w:i/>
          <w:iCs/>
        </w:rPr>
        <w:t>Mosaics of the Greek and Roman World.</w:t>
      </w:r>
      <w:r>
        <w:t xml:space="preserve"> Cambridge University </w:t>
      </w:r>
    </w:p>
    <w:p w14:paraId="15D4B649" w14:textId="77777777" w:rsidR="00EE7861" w:rsidRDefault="00000000">
      <w:pPr>
        <w:ind w:firstLine="720"/>
      </w:pPr>
      <w:r>
        <w:t>Press, 1999.</w:t>
      </w:r>
    </w:p>
    <w:p w14:paraId="1C61C30C" w14:textId="77777777" w:rsidR="00EE7861" w:rsidRDefault="00EE7861">
      <w:pPr>
        <w:ind w:firstLine="720"/>
      </w:pPr>
    </w:p>
    <w:p w14:paraId="6D84637F" w14:textId="77777777" w:rsidR="00EE7861" w:rsidRDefault="00000000">
      <w:r>
        <w:t xml:space="preserve">Eckersley, Tracey Elizabeth. "Iconography of the Vintage in the Mosaics of Roman Spain and </w:t>
      </w:r>
    </w:p>
    <w:p w14:paraId="0AE9EB90" w14:textId="77777777" w:rsidR="00EE7861" w:rsidRDefault="00000000">
      <w:pPr>
        <w:ind w:left="720"/>
      </w:pPr>
      <w:r>
        <w:t xml:space="preserve">North Africa." MA thesis, McMaster University, 1995. </w:t>
      </w:r>
      <w:proofErr w:type="spellStart"/>
      <w:r>
        <w:t>MacSphere</w:t>
      </w:r>
      <w:proofErr w:type="spellEnd"/>
      <w:r>
        <w:t>. https://macsphere.mcmaster.ca/handle/11375/11482. Accessed 5 November, 2024.</w:t>
      </w:r>
    </w:p>
    <w:p w14:paraId="4AFEA07E" w14:textId="77777777" w:rsidR="00EE7861" w:rsidRDefault="00EE7861"/>
    <w:p w14:paraId="255FEFEC" w14:textId="77777777" w:rsidR="00EE7861" w:rsidRDefault="00000000">
      <w:r>
        <w:t>Mallon, Killian. "</w:t>
      </w:r>
      <w:proofErr w:type="spellStart"/>
      <w:r>
        <w:t>Taskscapes</w:t>
      </w:r>
      <w:proofErr w:type="spellEnd"/>
      <w:r>
        <w:t xml:space="preserve">, Landscapes, and the Politics of Agricultural Production in Roman </w:t>
      </w:r>
    </w:p>
    <w:p w14:paraId="6C83E4A8" w14:textId="77777777" w:rsidR="00EE7861" w:rsidRDefault="00000000">
      <w:pPr>
        <w:ind w:left="720"/>
      </w:pPr>
      <w:r>
        <w:t xml:space="preserve">Mosaics." </w:t>
      </w:r>
      <w:r>
        <w:rPr>
          <w:i/>
          <w:iCs/>
        </w:rPr>
        <w:t>Theoretical Roman Archaeology Journal,</w:t>
      </w:r>
      <w:r>
        <w:t xml:space="preserve"> no.4 (2021); 1-26, </w:t>
      </w:r>
      <w:proofErr w:type="spellStart"/>
      <w:r>
        <w:t>doi</w:t>
      </w:r>
      <w:proofErr w:type="spellEnd"/>
      <w:r>
        <w:t>: 0.16995/traj.4340.</w:t>
      </w:r>
    </w:p>
    <w:p w14:paraId="1AE7FC84" w14:textId="77777777" w:rsidR="00EE7861" w:rsidRDefault="00EE7861">
      <w:pPr>
        <w:ind w:left="720"/>
      </w:pPr>
    </w:p>
    <w:p w14:paraId="50CF149E" w14:textId="77777777" w:rsidR="00EE7861" w:rsidRDefault="00000000">
      <w:r>
        <w:t xml:space="preserve">Savo, V., A. </w:t>
      </w:r>
      <w:proofErr w:type="spellStart"/>
      <w:r>
        <w:t>Kumbaric</w:t>
      </w:r>
      <w:proofErr w:type="spellEnd"/>
      <w:r>
        <w:t>, and G. Caneva. "Grapevine (</w:t>
      </w:r>
      <w:r>
        <w:rPr>
          <w:i/>
          <w:iCs/>
        </w:rPr>
        <w:t>Vitis vinifera L.</w:t>
      </w:r>
      <w:r>
        <w:t xml:space="preserve">) Symbolism in the Ancient </w:t>
      </w:r>
    </w:p>
    <w:p w14:paraId="3356C1DF" w14:textId="77777777" w:rsidR="00EE7861" w:rsidRDefault="00000000">
      <w:pPr>
        <w:ind w:left="720"/>
      </w:pPr>
      <w:r>
        <w:t xml:space="preserve">Euro-Mediterranean Cultures." </w:t>
      </w:r>
      <w:r>
        <w:rPr>
          <w:i/>
          <w:iCs/>
        </w:rPr>
        <w:t>Economic Botany</w:t>
      </w:r>
      <w:r>
        <w:t xml:space="preserve">, no.70 (2016); 190-197, </w:t>
      </w:r>
      <w:proofErr w:type="spellStart"/>
      <w:r>
        <w:t>doi</w:t>
      </w:r>
      <w:proofErr w:type="spellEnd"/>
      <w:r>
        <w:t>: 10.1007/s12231-016-9347-x.</w:t>
      </w:r>
    </w:p>
    <w:p w14:paraId="22586500" w14:textId="77777777" w:rsidR="00EE7861" w:rsidRDefault="00EE7861">
      <w:pPr>
        <w:ind w:left="720"/>
      </w:pPr>
    </w:p>
    <w:p w14:paraId="34277470" w14:textId="77777777" w:rsidR="00EE7861" w:rsidRDefault="00000000">
      <w:r>
        <w:t xml:space="preserve">Spurr, Stephen. "Agricultural Writers." In </w:t>
      </w:r>
      <w:r>
        <w:rPr>
          <w:i/>
          <w:iCs/>
        </w:rPr>
        <w:t>The Oxford Classical Dictionary</w:t>
      </w:r>
      <w:r>
        <w:t xml:space="preserve">. Edited by Simon </w:t>
      </w:r>
    </w:p>
    <w:p w14:paraId="68AAB272" w14:textId="77777777" w:rsidR="00EE7861" w:rsidRDefault="00000000">
      <w:pPr>
        <w:ind w:firstLine="720"/>
      </w:pPr>
      <w:r>
        <w:t>Hornblower and Antony Spawforth. Oxford University Press, 2003.</w:t>
      </w:r>
    </w:p>
    <w:p w14:paraId="778C9D5F" w14:textId="77777777" w:rsidR="00EE7861" w:rsidRDefault="00EE7861">
      <w:pPr>
        <w:ind w:firstLine="720"/>
      </w:pPr>
    </w:p>
    <w:p w14:paraId="687E3D2C" w14:textId="77777777" w:rsidR="00EE7861" w:rsidRDefault="00000000">
      <w:r>
        <w:t xml:space="preserve">Virgil. </w:t>
      </w:r>
      <w:r>
        <w:rPr>
          <w:i/>
          <w:iCs/>
        </w:rPr>
        <w:t>Virgil's Georgics - A New Translation</w:t>
      </w:r>
      <w:r>
        <w:t xml:space="preserve">. Translated by Colin John Holcombe. </w:t>
      </w:r>
      <w:proofErr w:type="spellStart"/>
      <w:r>
        <w:t>Ocaso</w:t>
      </w:r>
      <w:proofErr w:type="spellEnd"/>
      <w:r>
        <w:t xml:space="preserve"> Press, </w:t>
      </w:r>
    </w:p>
    <w:p w14:paraId="4DFD9DF8" w14:textId="77777777" w:rsidR="00EE7861" w:rsidRDefault="00000000">
      <w:pPr>
        <w:ind w:firstLine="720"/>
      </w:pPr>
      <w:r>
        <w:t>2012.</w:t>
      </w:r>
    </w:p>
    <w:p w14:paraId="15A21CE5" w14:textId="77777777" w:rsidR="00EE7861" w:rsidRDefault="00EE7861">
      <w:pPr>
        <w:ind w:firstLine="720"/>
      </w:pPr>
    </w:p>
    <w:p w14:paraId="073B42F4" w14:textId="77777777" w:rsidR="00EE7861" w:rsidRDefault="00000000">
      <w:r>
        <w:t xml:space="preserve">White, Kenneth D. </w:t>
      </w:r>
      <w:r>
        <w:rPr>
          <w:i/>
          <w:iCs/>
        </w:rPr>
        <w:t>Agricultural Implements of the Roman World Reissue Edition</w:t>
      </w:r>
      <w:r>
        <w:t xml:space="preserve">. Cambridge </w:t>
      </w:r>
    </w:p>
    <w:p w14:paraId="0784423E" w14:textId="77777777" w:rsidR="00EE7861" w:rsidRDefault="00000000">
      <w:pPr>
        <w:ind w:firstLine="720"/>
      </w:pPr>
      <w:r>
        <w:t>University Press, 2010.</w:t>
      </w:r>
    </w:p>
    <w:p w14:paraId="77EDEF74" w14:textId="77777777" w:rsidR="00EE7861" w:rsidRDefault="00EE7861">
      <w:pPr>
        <w:widowControl w:val="0"/>
        <w:spacing w:line="240" w:lineRule="auto"/>
        <w:ind w:right="1511"/>
      </w:pPr>
    </w:p>
    <w:p w14:paraId="7E083869" w14:textId="77777777" w:rsidR="00EE7861" w:rsidRDefault="00EE7861">
      <w:pPr>
        <w:widowControl w:val="0"/>
        <w:spacing w:line="240" w:lineRule="auto"/>
        <w:ind w:right="1511"/>
      </w:pPr>
    </w:p>
    <w:p w14:paraId="1C691D57" w14:textId="77777777" w:rsidR="00EE7861" w:rsidRDefault="00EE7861">
      <w:pPr>
        <w:widowControl w:val="0"/>
        <w:spacing w:line="240" w:lineRule="auto"/>
        <w:ind w:right="1511"/>
      </w:pPr>
    </w:p>
    <w:p w14:paraId="07975C90" w14:textId="77777777" w:rsidR="00EE7861" w:rsidRDefault="00EE7861">
      <w:pPr>
        <w:widowControl w:val="0"/>
        <w:spacing w:line="240" w:lineRule="auto"/>
        <w:ind w:right="1511"/>
      </w:pPr>
    </w:p>
    <w:p w14:paraId="54C6BE81" w14:textId="77777777" w:rsidR="00EE7861" w:rsidRDefault="00EE7861">
      <w:pPr>
        <w:widowControl w:val="0"/>
        <w:spacing w:line="240" w:lineRule="auto"/>
        <w:ind w:right="1511"/>
      </w:pPr>
    </w:p>
    <w:sectPr w:rsidR="00EE7861">
      <w:headerReference w:type="default" r:id="rId11"/>
      <w:footerReference w:type="default" r:id="rId12"/>
      <w:headerReference w:type="firs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122F1" w14:textId="77777777" w:rsidR="00250393" w:rsidRDefault="00250393">
      <w:pPr>
        <w:spacing w:line="240" w:lineRule="auto"/>
      </w:pPr>
      <w:r>
        <w:separator/>
      </w:r>
    </w:p>
  </w:endnote>
  <w:endnote w:type="continuationSeparator" w:id="0">
    <w:p w14:paraId="208D70EA" w14:textId="77777777" w:rsidR="00250393" w:rsidRDefault="00250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5FB512-3B72-4BED-8B09-938E5BBECD42}"/>
  </w:font>
  <w:font w:name="Cambria">
    <w:panose1 w:val="02040503050406030204"/>
    <w:charset w:val="00"/>
    <w:family w:val="roman"/>
    <w:pitch w:val="variable"/>
    <w:sig w:usb0="E00006FF" w:usb1="420024FF" w:usb2="02000000" w:usb3="00000000" w:csb0="0000019F" w:csb1="00000000"/>
    <w:embedRegular r:id="rId2" w:fontKey="{9CA48DA7-078A-4676-9995-A8D4B912E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8F43" w14:textId="77777777" w:rsidR="00EE7861" w:rsidRDefault="00EE7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45726" w14:textId="77777777" w:rsidR="00250393" w:rsidRDefault="00250393">
      <w:pPr>
        <w:spacing w:line="240" w:lineRule="auto"/>
      </w:pPr>
      <w:r>
        <w:separator/>
      </w:r>
    </w:p>
  </w:footnote>
  <w:footnote w:type="continuationSeparator" w:id="0">
    <w:p w14:paraId="60E05AA5" w14:textId="77777777" w:rsidR="00250393" w:rsidRDefault="00250393">
      <w:pPr>
        <w:spacing w:line="240" w:lineRule="auto"/>
      </w:pPr>
      <w:r>
        <w:continuationSeparator/>
      </w:r>
    </w:p>
  </w:footnote>
  <w:footnote w:id="1">
    <w:p w14:paraId="55224337" w14:textId="77777777" w:rsidR="00EE7861" w:rsidRDefault="00000000">
      <w:pPr>
        <w:spacing w:line="240" w:lineRule="auto"/>
        <w:rPr>
          <w:sz w:val="20"/>
          <w:szCs w:val="20"/>
        </w:rPr>
      </w:pPr>
      <w:r>
        <w:rPr>
          <w:vertAlign w:val="superscript"/>
        </w:rPr>
        <w:footnoteRef/>
      </w:r>
      <w:r>
        <w:rPr>
          <w:i/>
          <w:iCs/>
          <w:sz w:val="20"/>
          <w:szCs w:val="20"/>
        </w:rPr>
        <w:t xml:space="preserve"> </w:t>
      </w:r>
      <w:r>
        <w:rPr>
          <w:sz w:val="20"/>
          <w:szCs w:val="20"/>
        </w:rPr>
        <w:t xml:space="preserve">M. Tullius Cicero, </w:t>
      </w:r>
      <w:r>
        <w:rPr>
          <w:i/>
          <w:iCs/>
          <w:sz w:val="20"/>
          <w:szCs w:val="20"/>
        </w:rPr>
        <w:t xml:space="preserve">De </w:t>
      </w:r>
      <w:proofErr w:type="spellStart"/>
      <w:r>
        <w:rPr>
          <w:i/>
          <w:iCs/>
          <w:sz w:val="20"/>
          <w:szCs w:val="20"/>
        </w:rPr>
        <w:t>Officiis</w:t>
      </w:r>
      <w:proofErr w:type="spellEnd"/>
      <w:r>
        <w:rPr>
          <w:sz w:val="20"/>
          <w:szCs w:val="20"/>
        </w:rPr>
        <w:t>, trans. Walter Miller. (Cambridge, Mass.: Harvard University Press, 1913), 1.151.</w:t>
      </w:r>
    </w:p>
  </w:footnote>
  <w:footnote w:id="2">
    <w:p w14:paraId="1E796EF9" w14:textId="77777777" w:rsidR="00EE7861" w:rsidRDefault="00000000">
      <w:pPr>
        <w:spacing w:line="240" w:lineRule="auto"/>
        <w:rPr>
          <w:sz w:val="20"/>
          <w:szCs w:val="20"/>
        </w:rPr>
      </w:pPr>
      <w:r>
        <w:rPr>
          <w:vertAlign w:val="superscript"/>
        </w:rPr>
        <w:footnoteRef/>
      </w:r>
      <w:r>
        <w:rPr>
          <w:sz w:val="20"/>
          <w:szCs w:val="20"/>
        </w:rPr>
        <w:t xml:space="preserve"> Cato, </w:t>
      </w:r>
      <w:r>
        <w:rPr>
          <w:i/>
          <w:iCs/>
          <w:sz w:val="20"/>
          <w:szCs w:val="20"/>
        </w:rPr>
        <w:t>De Agri Cultura</w:t>
      </w:r>
      <w:r>
        <w:rPr>
          <w:sz w:val="20"/>
          <w:szCs w:val="20"/>
        </w:rPr>
        <w:t>, trans. Kenneth Rolling (</w:t>
      </w:r>
      <w:proofErr w:type="spellStart"/>
      <w:r>
        <w:rPr>
          <w:sz w:val="20"/>
          <w:szCs w:val="20"/>
        </w:rPr>
        <w:t>Oxrose</w:t>
      </w:r>
      <w:proofErr w:type="spellEnd"/>
      <w:r>
        <w:rPr>
          <w:sz w:val="20"/>
          <w:szCs w:val="20"/>
        </w:rPr>
        <w:t xml:space="preserve"> Academy, 2012), 3.</w:t>
      </w:r>
    </w:p>
  </w:footnote>
  <w:footnote w:id="3">
    <w:p w14:paraId="33A2FFB4" w14:textId="386FB51B" w:rsidR="00EE7861" w:rsidRDefault="00000000">
      <w:pPr>
        <w:spacing w:line="240" w:lineRule="auto"/>
        <w:rPr>
          <w:sz w:val="20"/>
          <w:szCs w:val="20"/>
        </w:rPr>
      </w:pPr>
      <w:r>
        <w:rPr>
          <w:vertAlign w:val="superscript"/>
        </w:rPr>
        <w:footnoteRef/>
      </w:r>
      <w:r>
        <w:rPr>
          <w:sz w:val="20"/>
          <w:szCs w:val="20"/>
        </w:rPr>
        <w:t xml:space="preserve"> </w:t>
      </w:r>
      <w:r w:rsidR="001143DC">
        <w:rPr>
          <w:sz w:val="20"/>
          <w:szCs w:val="20"/>
        </w:rPr>
        <w:t xml:space="preserve">Virgil, </w:t>
      </w:r>
      <w:r w:rsidR="001143DC">
        <w:rPr>
          <w:i/>
          <w:iCs/>
          <w:sz w:val="20"/>
          <w:szCs w:val="20"/>
        </w:rPr>
        <w:t>Virgil's Georgics - A New Translation</w:t>
      </w:r>
      <w:r w:rsidR="001143DC">
        <w:rPr>
          <w:sz w:val="20"/>
          <w:szCs w:val="20"/>
        </w:rPr>
        <w:t>, trans. Colin John Holcombe (</w:t>
      </w:r>
      <w:proofErr w:type="spellStart"/>
      <w:r w:rsidR="001143DC">
        <w:rPr>
          <w:sz w:val="20"/>
          <w:szCs w:val="20"/>
        </w:rPr>
        <w:t>Ocaso</w:t>
      </w:r>
      <w:proofErr w:type="spellEnd"/>
      <w:r w:rsidR="001143DC">
        <w:rPr>
          <w:sz w:val="20"/>
          <w:szCs w:val="20"/>
        </w:rPr>
        <w:t xml:space="preserve"> Press, 2012)</w:t>
      </w:r>
      <w:r>
        <w:rPr>
          <w:sz w:val="20"/>
          <w:szCs w:val="20"/>
        </w:rPr>
        <w:t>.</w:t>
      </w:r>
    </w:p>
  </w:footnote>
  <w:footnote w:id="4">
    <w:p w14:paraId="0F386D8B" w14:textId="77777777" w:rsidR="00EE7861" w:rsidRDefault="00000000">
      <w:pPr>
        <w:rPr>
          <w:sz w:val="20"/>
          <w:szCs w:val="20"/>
        </w:rPr>
      </w:pPr>
      <w:r>
        <w:rPr>
          <w:vertAlign w:val="superscript"/>
        </w:rPr>
        <w:footnoteRef/>
      </w:r>
      <w:r>
        <w:rPr>
          <w:sz w:val="20"/>
          <w:szCs w:val="20"/>
        </w:rPr>
        <w:t xml:space="preserve"> Kilian Mallon, "</w:t>
      </w:r>
      <w:proofErr w:type="spellStart"/>
      <w:r>
        <w:rPr>
          <w:sz w:val="20"/>
          <w:szCs w:val="20"/>
        </w:rPr>
        <w:t>Taskscapes</w:t>
      </w:r>
      <w:proofErr w:type="spellEnd"/>
      <w:r>
        <w:rPr>
          <w:sz w:val="20"/>
          <w:szCs w:val="20"/>
        </w:rPr>
        <w:t xml:space="preserve">, Landscapes, and the Politics of Agricultural Production in Roman Mosaics," </w:t>
      </w:r>
      <w:r w:rsidRPr="001143DC">
        <w:rPr>
          <w:i/>
          <w:iCs/>
          <w:sz w:val="20"/>
          <w:szCs w:val="20"/>
        </w:rPr>
        <w:t>Theoretical Roman Archaeology Journal</w:t>
      </w:r>
      <w:r>
        <w:rPr>
          <w:sz w:val="20"/>
          <w:szCs w:val="20"/>
        </w:rPr>
        <w:t xml:space="preserve"> 4, no. 1 (10 December, 2021), </w:t>
      </w:r>
      <w:proofErr w:type="spellStart"/>
      <w:r>
        <w:rPr>
          <w:sz w:val="20"/>
          <w:szCs w:val="20"/>
        </w:rPr>
        <w:t>doi</w:t>
      </w:r>
      <w:proofErr w:type="spellEnd"/>
      <w:r>
        <w:rPr>
          <w:sz w:val="20"/>
          <w:szCs w:val="20"/>
        </w:rPr>
        <w:t>: 10.16995/traj.4340, 3.</w:t>
      </w:r>
    </w:p>
  </w:footnote>
  <w:footnote w:id="5">
    <w:p w14:paraId="02CF161C" w14:textId="77777777" w:rsidR="00EE7861" w:rsidRDefault="00000000">
      <w:pPr>
        <w:spacing w:line="240" w:lineRule="auto"/>
        <w:rPr>
          <w:sz w:val="20"/>
          <w:szCs w:val="20"/>
        </w:rPr>
      </w:pPr>
      <w:r>
        <w:rPr>
          <w:vertAlign w:val="superscript"/>
        </w:rPr>
        <w:footnoteRef/>
      </w:r>
      <w:r>
        <w:rPr>
          <w:sz w:val="20"/>
          <w:szCs w:val="20"/>
        </w:rPr>
        <w:t xml:space="preserve"> Cato, </w:t>
      </w:r>
      <w:r>
        <w:rPr>
          <w:i/>
          <w:iCs/>
          <w:sz w:val="20"/>
          <w:szCs w:val="20"/>
        </w:rPr>
        <w:t>Agri,</w:t>
      </w:r>
      <w:r>
        <w:rPr>
          <w:sz w:val="20"/>
          <w:szCs w:val="20"/>
        </w:rPr>
        <w:t xml:space="preserve"> 3.</w:t>
      </w:r>
    </w:p>
  </w:footnote>
  <w:footnote w:id="6">
    <w:p w14:paraId="5D8FF4E1" w14:textId="5CB030F8" w:rsidR="00EE7861" w:rsidRDefault="00000000">
      <w:pPr>
        <w:spacing w:line="240" w:lineRule="auto"/>
        <w:rPr>
          <w:i/>
          <w:iCs/>
          <w:sz w:val="20"/>
          <w:szCs w:val="20"/>
        </w:rPr>
      </w:pPr>
      <w:r>
        <w:rPr>
          <w:vertAlign w:val="superscript"/>
        </w:rPr>
        <w:footnoteRef/>
      </w:r>
      <w:r>
        <w:rPr>
          <w:sz w:val="20"/>
          <w:szCs w:val="20"/>
        </w:rPr>
        <w:t xml:space="preserve"> Columella, </w:t>
      </w:r>
      <w:r>
        <w:rPr>
          <w:i/>
          <w:iCs/>
          <w:sz w:val="20"/>
          <w:szCs w:val="20"/>
        </w:rPr>
        <w:t>De Re Rustica</w:t>
      </w:r>
      <w:r>
        <w:rPr>
          <w:sz w:val="20"/>
          <w:szCs w:val="20"/>
        </w:rPr>
        <w:t xml:space="preserve">, trans. Bill Thayer, </w:t>
      </w:r>
      <w:r w:rsidR="001143DC">
        <w:rPr>
          <w:sz w:val="20"/>
          <w:szCs w:val="20"/>
        </w:rPr>
        <w:t>2023.</w:t>
      </w:r>
    </w:p>
  </w:footnote>
  <w:footnote w:id="7">
    <w:p w14:paraId="76B24B3B" w14:textId="77777777" w:rsidR="00EE7861" w:rsidRDefault="00000000">
      <w:pPr>
        <w:spacing w:line="240" w:lineRule="auto"/>
        <w:rPr>
          <w:sz w:val="20"/>
          <w:szCs w:val="20"/>
        </w:rPr>
      </w:pPr>
      <w:r>
        <w:rPr>
          <w:vertAlign w:val="superscript"/>
        </w:rPr>
        <w:footnoteRef/>
      </w:r>
      <w:r>
        <w:rPr>
          <w:sz w:val="20"/>
          <w:szCs w:val="20"/>
        </w:rPr>
        <w:t xml:space="preserve"> Stephen Spurr, "Agricultural Writers," </w:t>
      </w:r>
      <w:r>
        <w:rPr>
          <w:i/>
          <w:iCs/>
          <w:sz w:val="20"/>
          <w:szCs w:val="20"/>
        </w:rPr>
        <w:t>The Oxford Classical Dictionary</w:t>
      </w:r>
      <w:r>
        <w:rPr>
          <w:sz w:val="20"/>
          <w:szCs w:val="20"/>
        </w:rPr>
        <w:t xml:space="preserve">, ed. Simon Hornblower and Antony </w:t>
      </w:r>
      <w:proofErr w:type="spellStart"/>
      <w:r>
        <w:rPr>
          <w:sz w:val="20"/>
          <w:szCs w:val="20"/>
        </w:rPr>
        <w:t>Spawforth</w:t>
      </w:r>
      <w:proofErr w:type="spellEnd"/>
      <w:r>
        <w:rPr>
          <w:sz w:val="20"/>
          <w:szCs w:val="20"/>
        </w:rPr>
        <w:t xml:space="preserve"> (Oxford University Press, 2003), 44. </w:t>
      </w:r>
    </w:p>
  </w:footnote>
  <w:footnote w:id="8">
    <w:p w14:paraId="30FD1211" w14:textId="77777777" w:rsidR="00EE7861" w:rsidRDefault="00000000">
      <w:pPr>
        <w:spacing w:line="240" w:lineRule="auto"/>
        <w:rPr>
          <w:sz w:val="20"/>
          <w:szCs w:val="20"/>
        </w:rPr>
      </w:pPr>
      <w:r>
        <w:rPr>
          <w:vertAlign w:val="superscript"/>
        </w:rPr>
        <w:footnoteRef/>
      </w:r>
      <w:r>
        <w:rPr>
          <w:sz w:val="20"/>
          <w:szCs w:val="20"/>
        </w:rPr>
        <w:t xml:space="preserve"> Kenneth D. White, </w:t>
      </w:r>
      <w:r>
        <w:rPr>
          <w:i/>
          <w:iCs/>
          <w:sz w:val="20"/>
          <w:szCs w:val="20"/>
        </w:rPr>
        <w:t xml:space="preserve">Agricultural Implements of the Roma World Reissue Edition </w:t>
      </w:r>
      <w:r>
        <w:rPr>
          <w:sz w:val="20"/>
          <w:szCs w:val="20"/>
        </w:rPr>
        <w:t xml:space="preserve">(Cambridge University Press, 2010). </w:t>
      </w:r>
    </w:p>
  </w:footnote>
  <w:footnote w:id="9">
    <w:p w14:paraId="77AAE4EC" w14:textId="07599BB5" w:rsidR="00EE7861" w:rsidRDefault="00000000">
      <w:pPr>
        <w:spacing w:line="240" w:lineRule="auto"/>
        <w:rPr>
          <w:sz w:val="20"/>
          <w:szCs w:val="20"/>
        </w:rPr>
      </w:pPr>
      <w:r>
        <w:rPr>
          <w:vertAlign w:val="superscript"/>
        </w:rPr>
        <w:footnoteRef/>
      </w:r>
      <w:r>
        <w:rPr>
          <w:sz w:val="20"/>
          <w:szCs w:val="20"/>
        </w:rPr>
        <w:t xml:space="preserve"> V. Savo, A. </w:t>
      </w:r>
      <w:proofErr w:type="spellStart"/>
      <w:r>
        <w:rPr>
          <w:sz w:val="20"/>
          <w:szCs w:val="20"/>
        </w:rPr>
        <w:t>Kumbaric</w:t>
      </w:r>
      <w:proofErr w:type="spellEnd"/>
      <w:r>
        <w:rPr>
          <w:sz w:val="20"/>
          <w:szCs w:val="20"/>
        </w:rPr>
        <w:t xml:space="preserve">, and G. Caneva, "Grapevine (Vitis Vinifera L.) Symbolism in the Ancient Euro-Mediterranean Cultures," </w:t>
      </w:r>
      <w:r>
        <w:rPr>
          <w:i/>
          <w:iCs/>
          <w:sz w:val="20"/>
          <w:szCs w:val="20"/>
        </w:rPr>
        <w:t>Economic Botany</w:t>
      </w:r>
      <w:r>
        <w:rPr>
          <w:sz w:val="20"/>
          <w:szCs w:val="20"/>
        </w:rPr>
        <w:t xml:space="preserve"> 70, no. 2 (16 May, 2016), </w:t>
      </w:r>
      <w:proofErr w:type="spellStart"/>
      <w:r>
        <w:rPr>
          <w:sz w:val="20"/>
          <w:szCs w:val="20"/>
        </w:rPr>
        <w:t>doi</w:t>
      </w:r>
      <w:proofErr w:type="spellEnd"/>
      <w:r>
        <w:rPr>
          <w:sz w:val="20"/>
          <w:szCs w:val="20"/>
        </w:rPr>
        <w:t>:</w:t>
      </w:r>
      <w:r w:rsidR="001143DC">
        <w:rPr>
          <w:sz w:val="20"/>
          <w:szCs w:val="20"/>
        </w:rPr>
        <w:t xml:space="preserve"> </w:t>
      </w:r>
      <w:r>
        <w:rPr>
          <w:sz w:val="20"/>
          <w:szCs w:val="20"/>
        </w:rPr>
        <w:t xml:space="preserve">10.1007/s12231-016-9347-x, 190-197. </w:t>
      </w:r>
    </w:p>
  </w:footnote>
  <w:footnote w:id="10">
    <w:p w14:paraId="721D2E43" w14:textId="77777777" w:rsidR="00EE7861" w:rsidRDefault="00000000">
      <w:pPr>
        <w:spacing w:line="240" w:lineRule="auto"/>
        <w:rPr>
          <w:sz w:val="20"/>
          <w:szCs w:val="20"/>
        </w:rPr>
      </w:pPr>
      <w:r>
        <w:rPr>
          <w:vertAlign w:val="superscript"/>
        </w:rPr>
        <w:footnoteRef/>
      </w:r>
      <w:r>
        <w:rPr>
          <w:sz w:val="20"/>
          <w:szCs w:val="20"/>
        </w:rPr>
        <w:t xml:space="preserve"> Tracey Elizabeth Eckersley, "Iconography of the Vintage in the Mosaics of Roman Spain and North Africa," MA thesis, McMaster University, 1995, https://macsphere.mcmaster.ca/handle/11375/11482.</w:t>
      </w:r>
    </w:p>
  </w:footnote>
  <w:footnote w:id="11">
    <w:p w14:paraId="6484BC58" w14:textId="77777777" w:rsidR="00EE7861" w:rsidRDefault="00000000">
      <w:pPr>
        <w:spacing w:line="240" w:lineRule="auto"/>
        <w:rPr>
          <w:sz w:val="20"/>
          <w:szCs w:val="20"/>
        </w:rPr>
      </w:pPr>
      <w:r>
        <w:rPr>
          <w:vertAlign w:val="superscript"/>
        </w:rPr>
        <w:footnoteRef/>
      </w:r>
      <w:r>
        <w:rPr>
          <w:sz w:val="20"/>
          <w:szCs w:val="20"/>
        </w:rPr>
        <w:t xml:space="preserve"> Mallon, "Roman Mosaics."</w:t>
      </w:r>
    </w:p>
  </w:footnote>
  <w:footnote w:id="12">
    <w:p w14:paraId="533A6D7C" w14:textId="31D6D22E" w:rsidR="00EE7861" w:rsidRDefault="00000000">
      <w:pPr>
        <w:spacing w:line="240" w:lineRule="auto"/>
        <w:rPr>
          <w:sz w:val="20"/>
          <w:szCs w:val="20"/>
        </w:rPr>
      </w:pPr>
      <w:r>
        <w:rPr>
          <w:vertAlign w:val="superscript"/>
        </w:rPr>
        <w:footnoteRef/>
      </w:r>
      <w:r>
        <w:rPr>
          <w:sz w:val="20"/>
          <w:szCs w:val="20"/>
        </w:rPr>
        <w:t xml:space="preserve"> Savo et al., "Grapevine Symbolism</w:t>
      </w:r>
      <w:r w:rsidR="001143DC">
        <w:rPr>
          <w:sz w:val="20"/>
          <w:szCs w:val="20"/>
        </w:rPr>
        <w:t>.</w:t>
      </w:r>
      <w:r>
        <w:rPr>
          <w:sz w:val="20"/>
          <w:szCs w:val="20"/>
        </w:rPr>
        <w:t>"</w:t>
      </w:r>
    </w:p>
  </w:footnote>
  <w:footnote w:id="13">
    <w:p w14:paraId="03870F02" w14:textId="77777777" w:rsidR="00EE7861" w:rsidRDefault="00000000">
      <w:pPr>
        <w:spacing w:line="240" w:lineRule="auto"/>
        <w:rPr>
          <w:sz w:val="20"/>
          <w:szCs w:val="20"/>
        </w:rPr>
      </w:pPr>
      <w:r>
        <w:rPr>
          <w:vertAlign w:val="superscript"/>
        </w:rPr>
        <w:footnoteRef/>
      </w:r>
      <w:r>
        <w:rPr>
          <w:sz w:val="20"/>
          <w:szCs w:val="20"/>
        </w:rPr>
        <w:t xml:space="preserve"> Eckersley, "Iconography," 9-10.</w:t>
      </w:r>
    </w:p>
  </w:footnote>
  <w:footnote w:id="14">
    <w:p w14:paraId="6F5774D9" w14:textId="77777777" w:rsidR="00EE7861" w:rsidRDefault="00000000">
      <w:pPr>
        <w:spacing w:line="240" w:lineRule="auto"/>
        <w:rPr>
          <w:sz w:val="20"/>
          <w:szCs w:val="20"/>
        </w:rPr>
      </w:pPr>
      <w:r>
        <w:rPr>
          <w:vertAlign w:val="superscript"/>
        </w:rPr>
        <w:footnoteRef/>
      </w:r>
      <w:r>
        <w:rPr>
          <w:sz w:val="20"/>
          <w:szCs w:val="20"/>
        </w:rPr>
        <w:t xml:space="preserve"> Savo et al., "Grapevine Symbolism," 192.</w:t>
      </w:r>
    </w:p>
  </w:footnote>
  <w:footnote w:id="15">
    <w:p w14:paraId="092AA0B9" w14:textId="77777777" w:rsidR="00EE7861" w:rsidRDefault="00000000">
      <w:pPr>
        <w:spacing w:line="240" w:lineRule="auto"/>
        <w:rPr>
          <w:sz w:val="20"/>
          <w:szCs w:val="20"/>
        </w:rPr>
      </w:pPr>
      <w:r>
        <w:rPr>
          <w:vertAlign w:val="superscript"/>
        </w:rPr>
        <w:footnoteRef/>
      </w:r>
      <w:r>
        <w:rPr>
          <w:sz w:val="20"/>
          <w:szCs w:val="20"/>
        </w:rPr>
        <w:t xml:space="preserve"> Savo et al., "Grapevine Symbolism," 195.</w:t>
      </w:r>
    </w:p>
  </w:footnote>
  <w:footnote w:id="16">
    <w:p w14:paraId="43647E4C" w14:textId="4B9E8212" w:rsidR="00EE7861" w:rsidRDefault="00000000">
      <w:pPr>
        <w:spacing w:line="240" w:lineRule="auto"/>
        <w:rPr>
          <w:sz w:val="20"/>
          <w:szCs w:val="20"/>
        </w:rPr>
      </w:pPr>
      <w:r>
        <w:rPr>
          <w:vertAlign w:val="superscript"/>
        </w:rPr>
        <w:footnoteRef/>
      </w:r>
      <w:r>
        <w:rPr>
          <w:sz w:val="20"/>
          <w:szCs w:val="20"/>
        </w:rPr>
        <w:t xml:space="preserve"> Katherine M.D. Dunba</w:t>
      </w:r>
      <w:r w:rsidR="001143DC">
        <w:rPr>
          <w:sz w:val="20"/>
          <w:szCs w:val="20"/>
        </w:rPr>
        <w:t>b</w:t>
      </w:r>
      <w:r>
        <w:rPr>
          <w:sz w:val="20"/>
          <w:szCs w:val="20"/>
        </w:rPr>
        <w:t xml:space="preserve">in, </w:t>
      </w:r>
      <w:r>
        <w:rPr>
          <w:i/>
          <w:iCs/>
          <w:sz w:val="20"/>
          <w:szCs w:val="20"/>
        </w:rPr>
        <w:t>Mosaics of the Greek and Roman World</w:t>
      </w:r>
      <w:r>
        <w:rPr>
          <w:sz w:val="20"/>
          <w:szCs w:val="20"/>
        </w:rPr>
        <w:t>, (Cambridge University Press, 1999).</w:t>
      </w:r>
    </w:p>
  </w:footnote>
  <w:footnote w:id="17">
    <w:p w14:paraId="014E0015" w14:textId="75143C21" w:rsidR="00EE7861" w:rsidRDefault="00000000">
      <w:pPr>
        <w:spacing w:line="240" w:lineRule="auto"/>
        <w:rPr>
          <w:sz w:val="20"/>
          <w:szCs w:val="20"/>
        </w:rPr>
      </w:pPr>
      <w:r>
        <w:rPr>
          <w:vertAlign w:val="superscript"/>
        </w:rPr>
        <w:footnoteRef/>
      </w:r>
      <w:r>
        <w:rPr>
          <w:sz w:val="20"/>
          <w:szCs w:val="20"/>
        </w:rPr>
        <w:t xml:space="preserve"> Virgil, </w:t>
      </w:r>
      <w:r>
        <w:rPr>
          <w:i/>
          <w:iCs/>
          <w:sz w:val="20"/>
          <w:szCs w:val="20"/>
        </w:rPr>
        <w:t>Georgics</w:t>
      </w:r>
      <w:r>
        <w:rPr>
          <w:sz w:val="20"/>
          <w:szCs w:val="20"/>
        </w:rPr>
        <w:t>, 39.</w:t>
      </w:r>
    </w:p>
  </w:footnote>
  <w:footnote w:id="18">
    <w:p w14:paraId="2865CA45" w14:textId="77777777" w:rsidR="00EE7861" w:rsidRDefault="00000000">
      <w:pPr>
        <w:spacing w:line="240" w:lineRule="auto"/>
        <w:rPr>
          <w:sz w:val="20"/>
          <w:szCs w:val="20"/>
        </w:rPr>
      </w:pPr>
      <w:r>
        <w:rPr>
          <w:vertAlign w:val="superscript"/>
        </w:rPr>
        <w:footnoteRef/>
      </w:r>
      <w:r>
        <w:rPr>
          <w:sz w:val="20"/>
          <w:szCs w:val="20"/>
        </w:rPr>
        <w:t xml:space="preserve"> Virgil, </w:t>
      </w:r>
      <w:r>
        <w:rPr>
          <w:i/>
          <w:iCs/>
          <w:sz w:val="20"/>
          <w:szCs w:val="20"/>
        </w:rPr>
        <w:t>Georgics</w:t>
      </w:r>
      <w:r>
        <w:rPr>
          <w:sz w:val="20"/>
          <w:szCs w:val="20"/>
        </w:rPr>
        <w:t>, 14.</w:t>
      </w:r>
    </w:p>
  </w:footnote>
  <w:footnote w:id="19">
    <w:p w14:paraId="640D8C16" w14:textId="77777777" w:rsidR="00EE7861" w:rsidRDefault="00000000">
      <w:pPr>
        <w:spacing w:line="240" w:lineRule="auto"/>
        <w:rPr>
          <w:sz w:val="20"/>
          <w:szCs w:val="20"/>
        </w:rPr>
      </w:pPr>
      <w:r>
        <w:rPr>
          <w:vertAlign w:val="superscript"/>
        </w:rPr>
        <w:footnoteRef/>
      </w:r>
      <w:r>
        <w:rPr>
          <w:sz w:val="20"/>
          <w:szCs w:val="20"/>
        </w:rPr>
        <w:t xml:space="preserve"> Cato, </w:t>
      </w:r>
      <w:r>
        <w:rPr>
          <w:i/>
          <w:iCs/>
          <w:sz w:val="20"/>
          <w:szCs w:val="20"/>
        </w:rPr>
        <w:t>Agri.</w:t>
      </w:r>
    </w:p>
  </w:footnote>
  <w:footnote w:id="20">
    <w:p w14:paraId="76C41738" w14:textId="77777777" w:rsidR="00EE7861" w:rsidRDefault="00000000">
      <w:pPr>
        <w:spacing w:line="240" w:lineRule="auto"/>
        <w:rPr>
          <w:sz w:val="20"/>
          <w:szCs w:val="20"/>
        </w:rPr>
      </w:pPr>
      <w:r>
        <w:rPr>
          <w:vertAlign w:val="superscript"/>
        </w:rPr>
        <w:footnoteRef/>
      </w:r>
      <w:r>
        <w:rPr>
          <w:sz w:val="20"/>
          <w:szCs w:val="20"/>
        </w:rPr>
        <w:t xml:space="preserve"> Mallon, "Roman Mosaics."</w:t>
      </w:r>
    </w:p>
  </w:footnote>
  <w:footnote w:id="21">
    <w:p w14:paraId="5BBBC52A" w14:textId="77777777" w:rsidR="00EE7861" w:rsidRDefault="00000000">
      <w:pPr>
        <w:spacing w:line="240" w:lineRule="auto"/>
        <w:rPr>
          <w:sz w:val="20"/>
          <w:szCs w:val="20"/>
        </w:rPr>
      </w:pPr>
      <w:r>
        <w:rPr>
          <w:vertAlign w:val="superscript"/>
        </w:rPr>
        <w:footnoteRef/>
      </w:r>
      <w:r>
        <w:rPr>
          <w:sz w:val="20"/>
          <w:szCs w:val="20"/>
        </w:rPr>
        <w:t xml:space="preserve"> Columella, </w:t>
      </w:r>
      <w:r>
        <w:rPr>
          <w:i/>
          <w:iCs/>
          <w:sz w:val="20"/>
          <w:szCs w:val="20"/>
        </w:rPr>
        <w:t>Rust.</w:t>
      </w:r>
      <w:r>
        <w:rPr>
          <w:sz w:val="20"/>
          <w:szCs w:val="20"/>
        </w:rPr>
        <w:t>, Books 2-3.</w:t>
      </w:r>
    </w:p>
  </w:footnote>
  <w:footnote w:id="22">
    <w:p w14:paraId="4D87C5FB" w14:textId="77777777" w:rsidR="00EE7861" w:rsidRDefault="00000000">
      <w:pPr>
        <w:spacing w:line="240" w:lineRule="auto"/>
        <w:rPr>
          <w:sz w:val="20"/>
          <w:szCs w:val="20"/>
        </w:rPr>
      </w:pPr>
      <w:r>
        <w:rPr>
          <w:vertAlign w:val="superscript"/>
        </w:rPr>
        <w:footnoteRef/>
      </w:r>
      <w:r>
        <w:rPr>
          <w:sz w:val="20"/>
          <w:szCs w:val="20"/>
        </w:rPr>
        <w:t xml:space="preserve"> Savo et al., "Grapevine Symbolism," 195. </w:t>
      </w:r>
    </w:p>
  </w:footnote>
  <w:footnote w:id="23">
    <w:p w14:paraId="6CC31356" w14:textId="77777777" w:rsidR="00EE7861"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Dunbabin</w:t>
      </w:r>
      <w:proofErr w:type="spellEnd"/>
      <w:r>
        <w:rPr>
          <w:sz w:val="20"/>
          <w:szCs w:val="20"/>
        </w:rPr>
        <w:t>, "Mosaics."</w:t>
      </w:r>
    </w:p>
  </w:footnote>
  <w:footnote w:id="24">
    <w:p w14:paraId="12C9AC54" w14:textId="77777777" w:rsidR="00EE7861" w:rsidRDefault="00000000">
      <w:pPr>
        <w:spacing w:line="240" w:lineRule="auto"/>
        <w:rPr>
          <w:sz w:val="20"/>
          <w:szCs w:val="20"/>
        </w:rPr>
      </w:pPr>
      <w:r>
        <w:rPr>
          <w:vertAlign w:val="superscript"/>
        </w:rPr>
        <w:footnoteRef/>
      </w:r>
      <w:r>
        <w:rPr>
          <w:sz w:val="20"/>
          <w:szCs w:val="20"/>
        </w:rPr>
        <w:t xml:space="preserve"> Save et al., "Grapevine Symbolism," 195.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78941" w14:textId="77777777" w:rsidR="00EE7861" w:rsidRDefault="00000000">
    <w:pPr>
      <w:jc w:val="right"/>
    </w:pPr>
    <w:r>
      <w:fldChar w:fldCharType="begin"/>
    </w:r>
    <w:r>
      <w:instrText>PAGE</w:instrText>
    </w:r>
    <w:r>
      <w:fldChar w:fldCharType="separate"/>
    </w:r>
    <w:r w:rsidR="001143DC">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AC3D1" w14:textId="77777777" w:rsidR="00EE7861" w:rsidRDefault="00EE78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861"/>
    <w:rsid w:val="001143DC"/>
    <w:rsid w:val="00250393"/>
    <w:rsid w:val="00EA7056"/>
    <w:rsid w:val="00EC6859"/>
    <w:rsid w:val="00EE7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DB834"/>
  <w15:docId w15:val="{B34379D0-41DA-4393-A1D1-6B1F88A3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1143DC"/>
    <w:rPr>
      <w:color w:val="0000FF" w:themeColor="hyperlink"/>
      <w:u w:val="single"/>
    </w:rPr>
  </w:style>
  <w:style w:type="character" w:styleId="UnresolvedMention">
    <w:name w:val="Unresolved Mention"/>
    <w:basedOn w:val="DefaultParagraphFont"/>
    <w:uiPriority w:val="99"/>
    <w:semiHidden/>
    <w:unhideWhenUsed/>
    <w:rsid w:val="00114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3857</Words>
  <Characters>21988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 MacDaniel-Streibel</cp:lastModifiedBy>
  <cp:revision>2</cp:revision>
  <dcterms:created xsi:type="dcterms:W3CDTF">2026-01-16T20:25:00Z</dcterms:created>
  <dcterms:modified xsi:type="dcterms:W3CDTF">2026-01-16T20:37:00Z</dcterms:modified>
</cp:coreProperties>
</file>